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欧盟碳边境调节机制（CBAM）（解读及研究报告全文） - 知乎</w:t>
      </w:r>
      <w:br/>
      <w:hyperlink r:id="rId7" w:history="1">
        <w:r>
          <w:rPr>
            <w:color w:val="2980b9"/>
            <w:u w:val="single"/>
          </w:rPr>
          <w:t xml:space="preserve">https://zhuanlan.zhihu.com/p/395137906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欧盟通过碳边境调节机制来提高碳市场有效性，实现2030年减排55%的目标。</w:t>
      </w:r>
    </w:p>
    <w:p>
      <w:pPr>
        <w:jc w:val="both"/>
      </w:pPr>
      <w:r>
        <w:rPr/>
        <w:t xml:space="preserve">2. 碳边境调节机制将涵盖欧洲碳市场中的电力、钢铁、水泥、铝和化肥五个领域，试点阶段产品仅需履行排放报告义务，从2026年开始逐年减少生产企业免费配额直至2035年完全取消免费配额，并要求产品进口者支付碳费用。</w:t>
      </w:r>
    </w:p>
    <w:p>
      <w:pPr>
        <w:jc w:val="both"/>
      </w:pPr>
      <w:r>
        <w:rPr/>
        <w:t xml:space="preserve">3. CBAM可能会对中国和其他发展中国家造成影响，需要关注。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该文章主要介绍了欧盟碳边境调节机制（CBAM）的相关内容，但存在一些问题。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首先，该文章没有充分探讨碳边境税对环境影响的好坏。虽然碳边境税可以促进减排和环保，但也可能会导致贸易壁垒和不公平竞争。因此，需要进行更加全面和客观的评估。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其次，该文章没有提供足够的证据来支持其主张。例如，宣称CBAM能否增强美国和欧盟在气候领域的全球领导力，但并未提供具体数据或案例来证明这一点。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此外，该文章还存在偏袒欧盟立场的问题。虽然欧盟是CBAM的提出者和推动者，但该机制也可能对其他国家造成负面影响。因此，在报道时应注意到可能存在的风险，并平等地呈现双方观点。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最后，该文章缺乏对CBAM实施过程中可能出现的问题和挑战进行深入探讨。例如，在实施过程中如何解决技术难题、如何避免贸易壁垒等问题都需要考虑到。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综上所述，该文章在介绍CBAM的基本内容方面做得不错，但在深入探讨其影响和可能存在的问题方面还有待改进。同时，需要更加客观和平衡地呈现双方观点，避免出现偏袒欧盟立场的情况。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carbon border tax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benefits of CBAM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 on other countries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risks in implementing CBAM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views
</w:t>
      </w:r>
    </w:p>
    <w:p>
      <w:pPr>
        <w:numPr>
          <w:ilvl w:val="0"/>
          <w:numId w:val="2"/>
        </w:numPr>
      </w:pPr>
      <w:r>
        <w:rPr/>
        <w:t xml:space="preserve">Technical difficulties and trade barriers in CBAM implementation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https://www.fullpicture.app/item/539dd4c3eb19a78c9fc19411c477b11c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FE2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95137906" TargetMode="External"/><Relationship Id="rId8" Type="http://schemas.openxmlformats.org/officeDocument/2006/relationships/hyperlink" Target="https://www.fullpicture.app/item/539dd4c3eb19a78c9fc19411c477b1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2024-01-14T01:50:36+01:00</dcterms:created>
  <dcterms:modified xsi:type="dcterms:W3CDTF">2024-01-14T01:50:36+01:00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