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basic phage set for typing bovine staphylococci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https://pubmed.ncbi.nlm.nih.gov/2936801/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本研究使用国际基本噬菌体集合对269株从牛奶中分离的金黄色葡萄球菌进行了噬菌体分型。</w:t>
      </w:r>
    </w:p>
    <w:p>
      <w:pPr>
        <w:jc w:val="both"/>
      </w:pPr>
      <w:r>
        <w:rPr/>
        <w:t xml:space="preserve">2. 在本研究中，73.6%的菌株可以被分型，相比于1972年首次推荐该集合时的84-89%，有所下降。</w:t>
      </w:r>
    </w:p>
    <w:p>
      <w:pPr>
        <w:jc w:val="both"/>
      </w:pPr>
      <w:r>
        <w:rPr/>
        <w:t xml:space="preserve">3. 尽管大部分噬菌体的溶原性有所降低，但该集合仍能够对大多数牛葡萄球菌进行分型。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根据提供的信息，我们无法对文章进行详细的批判性分析。提供的内容只包括文章标题和摘要，并没有提供足够的信息来评估其潜在偏见、片面报道、无根据的主张、缺失的考虑点等方面。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要进行批判性分析，我们需要查看完整的文章内容，包括方法、结果和讨论部分。此外，我们还需要了解作者的背景和可能存在的利益冲突。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因此，在没有更多信息的情况下，我们无法对该文章进行全面的批判性分析。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文章标题和摘要中提到的关键词或主题。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文章中可能存在的偏见或片面报道。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文章中提出的主张是否有足够的依据支持。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文章中可能缺失的考虑点或其他观点。
</w:t>
      </w:r>
    </w:p>
    <w:p>
      <w:pPr>
        <w:spacing w:after="0"/>
        <w:numPr>
          <w:ilvl w:val="0"/>
          <w:numId w:val="2"/>
        </w:numPr>
      </w:pPr>
      <w:r>
        <w:rPr/>
        <w:t xml:space="preserve">作者的背景和可能存在的利益冲突。
</w:t>
      </w:r>
    </w:p>
    <w:p>
      <w:pPr>
        <w:numPr>
          <w:ilvl w:val="0"/>
          <w:numId w:val="2"/>
        </w:numPr>
      </w:pPr>
      <w:r>
        <w:rPr/>
        <w:t xml:space="preserve">文章的方法、结果和讨论部分中的详细信息。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https://www.fullpicture.app/item/538afd14b650a45f4de4eb17218967d3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621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36801/" TargetMode="External"/><Relationship Id="rId8" Type="http://schemas.openxmlformats.org/officeDocument/2006/relationships/hyperlink" Target="https://www.fullpicture.app/item/538afd14b650a45f4de4eb17218967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2024-01-08T07:43:18+01:00</dcterms:created>
  <dcterms:modified xsi:type="dcterms:W3CDTF">2024-01-08T07:43:18+01:00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