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continuing saga around arts funding and the cultural wars in Australia. - EBSCO</w:t>
      </w:r>
      <w:br/>
      <w:hyperlink r:id="rId7" w:history="1">
        <w:r>
          <w:rPr>
            <w:color w:val="2980b9"/>
            <w:u w:val="single"/>
          </w:rPr>
          <w:t xml:space="preserve">https://discovery.ebsco.com/c/xppotz/viewer/html/xfdspw2ej5?auth-callid=c18e2417-b1bb-9d86-9301-907b8e8f21e2</w:t>
        </w:r>
      </w:hyperlink>
    </w:p>
    <w:p>
      <w:pPr>
        <w:pStyle w:val="Heading1"/>
      </w:pPr>
      <w:bookmarkStart w:id="2" w:name="_Toc2"/>
      <w:r>
        <w:t>Article summary:</w:t>
      </w:r>
      <w:bookmarkEnd w:id="2"/>
    </w:p>
    <w:p>
      <w:pPr>
        <w:jc w:val="both"/>
      </w:pPr>
      <w:r>
        <w:rPr/>
        <w:t xml:space="preserve">1. Arts funding and cultural policy in Australia have been a site of much contention and discussion over the past decade, with major ideological schisms in the present political approach.</w:t>
      </w:r>
    </w:p>
    <w:p>
      <w:pPr>
        <w:jc w:val="both"/>
      </w:pPr>
      <w:r>
        <w:rPr/>
        <w:t xml:space="preserve"/>
      </w:r>
    </w:p>
    <w:p>
      <w:pPr>
        <w:jc w:val="both"/>
      </w:pPr>
      <w:r>
        <w:rPr/>
        <w:t xml:space="preserve">2. The established arts sector has been protected and consolidated, while the emerging sector, individual artists, and small organizations have all been negatively affected by policy changes.</w:t>
      </w:r>
    </w:p>
    <w:p>
      <w:pPr>
        <w:jc w:val="both"/>
      </w:pPr>
      <w:r>
        <w:rPr/>
        <w:t xml:space="preserve"/>
      </w:r>
    </w:p>
    <w:p>
      <w:pPr>
        <w:jc w:val="both"/>
      </w:pPr>
      <w:r>
        <w:rPr/>
        <w:t xml:space="preserve">3. The relationship between government and the broader arts sector is dynamic, volatile, and contested, with differences in approaches to arts funding influenced by various factors such as art forms, social values, locations, cultures, political affiliations, religious beliefs, and gender.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澳大利亚文化政策和艺术资助的争议进行了描述，但存在一些偏见和片面报道。首先，文章没有提供足够的证据来支持其主张，例如声称政府更倾向于支持现有的社会等级制度而不是弱势群体。其次，文章没有探讨政府为什么会选择保护大型表演艺术机构而不是小型组织和个人艺术家。此外，文章没有考虑到政府在资助艺术方面所面临的挑战和风险，并未平等地呈现双方观点。</w:t>
      </w:r>
    </w:p>
    <w:p>
      <w:pPr>
        <w:jc w:val="both"/>
      </w:pPr>
      <w:r>
        <w:rPr/>
        <w:t xml:space="preserve"/>
      </w:r>
    </w:p>
    <w:p>
      <w:pPr>
        <w:jc w:val="both"/>
      </w:pPr>
      <w:r>
        <w:rPr/>
        <w:t xml:space="preserve">此外，该文章可能存在宣传内容和偏袒之嫌。它似乎支持独立的艺术资助结构，并认为政府干预会对艺术产生负面影响。然而，这种观点并不一定正确或全面。政府在资助艺术方面扮演着重要角色，并且需要权衡各种因素来做出决策。</w:t>
      </w:r>
    </w:p>
    <w:p>
      <w:pPr>
        <w:jc w:val="both"/>
      </w:pPr>
      <w:r>
        <w:rPr/>
        <w:t xml:space="preserve"/>
      </w:r>
    </w:p>
    <w:p>
      <w:pPr>
        <w:jc w:val="both"/>
      </w:pPr>
      <w:r>
        <w:rPr/>
        <w:t xml:space="preserve">总之，该文章提供了一些关于澳大利亚文化政策和艺术资助的信息，但需要更多证据来支持其主张，并应该更加平等地呈现双方观点。</w:t>
      </w:r>
    </w:p>
    <w:p>
      <w:pPr>
        <w:pStyle w:val="Heading1"/>
      </w:pPr>
      <w:bookmarkStart w:id="5" w:name="_Toc5"/>
      <w:r>
        <w:t>Topics for further research:</w:t>
      </w:r>
      <w:bookmarkEnd w:id="5"/>
    </w:p>
    <w:p>
      <w:pPr>
        <w:spacing w:after="0"/>
        <w:numPr>
          <w:ilvl w:val="0"/>
          <w:numId w:val="2"/>
        </w:numPr>
      </w:pPr>
      <w:r>
        <w:rPr/>
        <w:t xml:space="preserve">Government funding for the arts in Australia
</w:t>
      </w:r>
    </w:p>
    <w:p>
      <w:pPr>
        <w:spacing w:after="0"/>
        <w:numPr>
          <w:ilvl w:val="0"/>
          <w:numId w:val="2"/>
        </w:numPr>
      </w:pPr>
      <w:r>
        <w:rPr/>
        <w:t xml:space="preserve">Challenges and risks in arts funding
</w:t>
      </w:r>
    </w:p>
    <w:p>
      <w:pPr>
        <w:spacing w:after="0"/>
        <w:numPr>
          <w:ilvl w:val="0"/>
          <w:numId w:val="2"/>
        </w:numPr>
      </w:pPr>
      <w:r>
        <w:rPr/>
        <w:t xml:space="preserve">Protection of large arts institutions vs. small organizations and individual artists
</w:t>
      </w:r>
    </w:p>
    <w:p>
      <w:pPr>
        <w:spacing w:after="0"/>
        <w:numPr>
          <w:ilvl w:val="0"/>
          <w:numId w:val="2"/>
        </w:numPr>
      </w:pPr>
      <w:r>
        <w:rPr/>
        <w:t xml:space="preserve">Independent arts funding structures
</w:t>
      </w:r>
    </w:p>
    <w:p>
      <w:pPr>
        <w:spacing w:after="0"/>
        <w:numPr>
          <w:ilvl w:val="0"/>
          <w:numId w:val="2"/>
        </w:numPr>
      </w:pPr>
      <w:r>
        <w:rPr/>
        <w:t xml:space="preserve">Impact of government intervention on the arts
</w:t>
      </w:r>
    </w:p>
    <w:p>
      <w:pPr>
        <w:numPr>
          <w:ilvl w:val="0"/>
          <w:numId w:val="2"/>
        </w:numPr>
      </w:pPr>
      <w:r>
        <w:rPr/>
        <w:t xml:space="preserve">Balancing factors in arts funding decisions</w:t>
      </w:r>
    </w:p>
    <w:p>
      <w:pPr>
        <w:pStyle w:val="Heading1"/>
      </w:pPr>
      <w:bookmarkStart w:id="6" w:name="_Toc6"/>
      <w:r>
        <w:t>Report location:</w:t>
      </w:r>
      <w:bookmarkEnd w:id="6"/>
    </w:p>
    <w:p>
      <w:hyperlink r:id="rId8" w:history="1">
        <w:r>
          <w:rPr>
            <w:color w:val="2980b9"/>
            <w:u w:val="single"/>
          </w:rPr>
          <w:t xml:space="preserve">https://www.fullpicture.app/item/51979480ffe267addec21913c9b15327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F6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ebsco.com/c/xppotz/viewer/html/xfdspw2ej5?auth-callid=c18e2417-b1bb-9d86-9301-907b8e8f21e2" TargetMode="External"/><Relationship Id="rId8" Type="http://schemas.openxmlformats.org/officeDocument/2006/relationships/hyperlink" Target="https://www.fullpicture.app/item/51979480ffe267addec21913c9b153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2023-04-07T05:33:39+02:00</dcterms:created>
  <dcterms:modified xsi:type="dcterms:W3CDTF">2023-04-07T05:33:39+02:00</dcterms:modified>
</cp:coreProperties>
</file>

<file path=docProps/custom.xml><?xml version="1.0" encoding="utf-8"?>
<Properties xmlns="http://schemas.openxmlformats.org/officeDocument/2006/custom-properties" xmlns:vt="http://schemas.openxmlformats.org/officeDocument/2006/docPropsVTypes"/>
</file>