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ITP and international guidelines: what do we know, what do we need?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https://pubmed.ncbi.nlm.nih.gov/24656296/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Rituximab and thrombopoietin-receptor agonists (TPO-ra) have been introduced into the traditional armamentarium of Immune Thrombocytopenia (ITP), and two international guidelines have been developed to incorporate these advancements.</w:t>
      </w:r>
    </w:p>
    <w:p>
      <w:pPr>
        <w:jc w:val="both"/>
      </w:pPr>
      <w:r>
        <w:rPr/>
        <w:t xml:space="preserve">2. Both guidelines suggest initial treatment with oral corticosteroids and TPO-ra as a third-line approach in patients unsuccessfully splenectomized, but there is disagreement on the second-line approach for patients failing corticosteroids.</w:t>
      </w:r>
    </w:p>
    <w:p>
      <w:pPr>
        <w:jc w:val="both"/>
      </w:pPr>
      <w:r>
        <w:rPr/>
        <w:t xml:space="preserve">3. Management of ITP should be tailored to individual patients, taking into account long-term outcomes, toxicity, and thrombotic risk. New studies should focus more on clinical outcomes than platelet count increase.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综述，旨在探讨国际指南对于ITP治疗的建议和现有证据。文章提到了当前ITP治疗中使用的药物，包括激素、脾切除术、利妥昔单抗和TPO受体激动剂，并介绍了两个国际指南：一个由国际专家组成的团队制定（ICR），另一个由美国血液学会（ASH）认可的一组血液学家和方法学家制定。文章指出，这两个指南都提供了关于一线、二线和三线治疗的建议，但对于不同阶段和严重程度的疾病给予较少关注。此外，文章还强调了对于TPO-ra使用长期效果和毒性风险的需要更多研究，并呼吁将临床结果作为评估标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该文章没有明显偏见或宣传内容，但可能存在一些片面报道或缺失考虑点。例如，在讨论第二线治疗时，ICR将脾切除术与其他二线治疗方法（包括利妥昔单抗和TPO-ra）放在同等级别上，而ASH则明确建议将TPO-ra和利妥昔单抗保留给对脾切除术无效或有禁忌症的患者。这种差异可能导致不同地区或医生在治疗选择上存在分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到一些可能存在的风险，如TPO-ra使用后出现血栓形成的风险。文章也没有平等地呈现双方观点，而是更多地关注了国际指南的建议和现有证据。因此，读者需要注意到这些缺失，并自行评估治疗选择时所需考虑的所有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Risks of TPO-ra therapy
</w:t>
      </w:r>
    </w:p>
    <w:p>
      <w:pPr>
        <w:spacing w:after="0"/>
        <w:numPr>
          <w:ilvl w:val="0"/>
          <w:numId w:val="2"/>
        </w:numPr>
      </w:pPr>
      <w:r>
        <w:rPr/>
        <w:t xml:space="preserve">Differences in treatment recommendations between ICR and ASH guidelines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or limitations in the article's coverage
</w:t>
      </w:r>
    </w:p>
    <w:p>
      <w:pPr>
        <w:spacing w:after="0"/>
        <w:numPr>
          <w:ilvl w:val="0"/>
          <w:numId w:val="2"/>
        </w:numPr>
      </w:pPr>
      <w:r>
        <w:rPr/>
        <w:t xml:space="preserve">Thrombotic risks associated with TPO-ra use
</w:t>
      </w:r>
    </w:p>
    <w:p>
      <w:pPr>
        <w:spacing w:after="0"/>
        <w:numPr>
          <w:ilvl w:val="0"/>
          <w:numId w:val="2"/>
        </w:numPr>
      </w:pPr>
      <w:r>
        <w:rPr/>
        <w:t xml:space="preserve">Other factors to consider in treatment selection
</w:t>
      </w:r>
    </w:p>
    <w:p>
      <w:pPr>
        <w:numPr>
          <w:ilvl w:val="0"/>
          <w:numId w:val="2"/>
        </w:numPr>
      </w:pPr>
      <w:r>
        <w:rPr/>
        <w:t xml:space="preserve">Balancing perspectives on ITP treatment options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https://www.fullpicture.app/item/4fde459d06320ffcaa13bb6faf79be6d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4A1F8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4656296/" TargetMode="External"/><Relationship Id="rId8" Type="http://schemas.openxmlformats.org/officeDocument/2006/relationships/hyperlink" Target="https://www.fullpicture.app/item/4fde459d06320ffcaa13bb6faf79be6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2023-12-07T23:37:01+01:00</dcterms:created>
  <dcterms:modified xsi:type="dcterms:W3CDTF">2023-12-07T23:37:01+01:00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