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Sustainabilitypublished.pdf</w:t>
      </w:r>
      <w:br/>
      <w:hyperlink r:id="rId7" w:history="1">
        <w:r>
          <w:rPr>
            <w:color w:val="2980b9"/>
            <w:u w:val="single"/>
          </w:rPr>
          <w:t xml:space="preserve">https://typeset.io/library/shao-shu-zu-qun-yu-yan-huo-li-1rmfohq1/sustainabilitypublished-pdf-xilxbdbm</w:t>
        </w:r>
      </w:hyperlink>
    </w:p>
    <w:p>
      <w:pPr>
        <w:pStyle w:val="Heading1"/>
      </w:pPr>
      <w:bookmarkStart w:id="2" w:name="_Toc2"/>
      <w:r>
        <w:t>Article summary:</w:t>
      </w:r>
      <w:bookmarkEnd w:id="2"/>
    </w:p>
    <w:p>
      <w:pPr>
        <w:jc w:val="both"/>
      </w:pPr>
      <w:r>
        <w:rPr/>
        <w:t xml:space="preserve">1. The notion of ethnolinguistic vitality has been used ambiguously in the vitality theory, denoting three distinct theoretical concepts: sustainability (Su), strength (S) and vitality (V).</w:t>
      </w:r>
    </w:p>
    <w:p>
      <w:pPr>
        <w:jc w:val="both"/>
      </w:pPr>
      <w:r>
        <w:rPr/>
        <w:t xml:space="preserve">2. Sustainability is a group’s ability to continue existing as a group while vitality is its ability to act as a collective entity and strength is its durability in demographic, economic, institutional and cultural terms.</w:t>
      </w:r>
    </w:p>
    <w:p>
      <w:pPr>
        <w:jc w:val="both"/>
      </w:pPr>
      <w:r>
        <w:rPr/>
        <w:t xml:space="preserve">3. Vitality depends on the perception of the ingroup strength in comparison with outgroups, the commitment of its members to the maintenance of heritage values, their cultural distinctiveness and closedness of their social networks, as well as the level of perceived intergroup discordance.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 critical analysis of the article "Refining the notion of ethnolinguistic vitality," it is important to note that the author's definition and understanding of vitality may be biased towards maintaining the existence of a particular group. The article argues that sustainability is a group's ability to continue existing as a group, while vitality is its ability to act as a collective entity. However, this distinction may not be sufficient in determining the long-term survival of a group.</w:t>
      </w:r>
    </w:p>
    <w:p>
      <w:pPr>
        <w:jc w:val="both"/>
      </w:pPr>
      <w:r>
        <w:rPr/>
        <w:t xml:space="preserve"/>
      </w:r>
    </w:p>
    <w:p>
      <w:pPr>
        <w:jc w:val="both"/>
      </w:pPr>
      <w:r>
        <w:rPr/>
        <w:t xml:space="preserve">Furthermore, the article does not adequately address the role of power dynamics and discrimination in shaping language shift and maintenance. While the author acknowledges that intergroup discordance can affect vitality, there is no discussion on how systemic oppression and marginalization can impact language use and identity.</w:t>
      </w:r>
    </w:p>
    <w:p>
      <w:pPr>
        <w:jc w:val="both"/>
      </w:pPr>
      <w:r>
        <w:rPr/>
        <w:t xml:space="preserve"/>
      </w:r>
    </w:p>
    <w:p>
      <w:pPr>
        <w:jc w:val="both"/>
      </w:pPr>
      <w:r>
        <w:rPr/>
        <w:t xml:space="preserve">The proposed model for assessing vitality also relies heavily on subjective perceptions and attitudes, which may not accurately reflect the reality of a group's situation. Additionally, there is no empirical evidence presented to support the hypothesized components of vitality.</w:t>
      </w:r>
    </w:p>
    <w:p>
      <w:pPr>
        <w:jc w:val="both"/>
      </w:pPr>
      <w:r>
        <w:rPr/>
        <w:t xml:space="preserve"/>
      </w:r>
    </w:p>
    <w:p>
      <w:pPr>
        <w:jc w:val="both"/>
      </w:pPr>
      <w:r>
        <w:rPr/>
        <w:t xml:space="preserve">Overall, while the article attempts to refine the concept of ethnolinguistic vitality, it falls short in addressing important factors such as power dynamics and discrimination. The proposed model for assessing vitality also lacks empirical evidence and may rely too heavily on subjective perceptions.</w:t>
      </w:r>
    </w:p>
    <w:p>
      <w:pPr>
        <w:pStyle w:val="Heading1"/>
      </w:pPr>
      <w:bookmarkStart w:id="5" w:name="_Toc5"/>
      <w:r>
        <w:t>Topics for further research:</w:t>
      </w:r>
      <w:bookmarkEnd w:id="5"/>
    </w:p>
    <w:p>
      <w:pPr>
        <w:spacing w:after="0"/>
        <w:numPr>
          <w:ilvl w:val="0"/>
          <w:numId w:val="2"/>
        </w:numPr>
      </w:pPr>
      <w:r>
        <w:rPr/>
        <w:t xml:space="preserve">Power dynamics and language shift
</w:t>
      </w:r>
    </w:p>
    <w:p>
      <w:pPr>
        <w:spacing w:after="0"/>
        <w:numPr>
          <w:ilvl w:val="0"/>
          <w:numId w:val="2"/>
        </w:numPr>
      </w:pPr>
      <w:r>
        <w:rPr/>
        <w:t xml:space="preserve">Marginalization and language use
</w:t>
      </w:r>
    </w:p>
    <w:p>
      <w:pPr>
        <w:spacing w:after="0"/>
        <w:numPr>
          <w:ilvl w:val="0"/>
          <w:numId w:val="2"/>
        </w:numPr>
      </w:pPr>
      <w:r>
        <w:rPr/>
        <w:t xml:space="preserve">Discrimination and ethnolinguistic vitality
</w:t>
      </w:r>
    </w:p>
    <w:p>
      <w:pPr>
        <w:spacing w:after="0"/>
        <w:numPr>
          <w:ilvl w:val="0"/>
          <w:numId w:val="2"/>
        </w:numPr>
      </w:pPr>
      <w:r>
        <w:rPr/>
        <w:t xml:space="preserve">Empirical evidence for vitality components
</w:t>
      </w:r>
    </w:p>
    <w:p>
      <w:pPr>
        <w:spacing w:after="0"/>
        <w:numPr>
          <w:ilvl w:val="0"/>
          <w:numId w:val="2"/>
        </w:numPr>
      </w:pPr>
      <w:r>
        <w:rPr/>
        <w:t xml:space="preserve">Subjective perceptions in assessing vitality
</w:t>
      </w:r>
    </w:p>
    <w:p>
      <w:pPr>
        <w:numPr>
          <w:ilvl w:val="0"/>
          <w:numId w:val="2"/>
        </w:numPr>
      </w:pPr>
      <w:r>
        <w:rPr/>
        <w:t xml:space="preserve">Long-term survival of a group and vitality</w:t>
      </w:r>
    </w:p>
    <w:p>
      <w:pPr>
        <w:pStyle w:val="Heading1"/>
      </w:pPr>
      <w:bookmarkStart w:id="6" w:name="_Toc6"/>
      <w:r>
        <w:t>Report location:</w:t>
      </w:r>
      <w:bookmarkEnd w:id="6"/>
    </w:p>
    <w:p>
      <w:hyperlink r:id="rId8" w:history="1">
        <w:r>
          <w:rPr>
            <w:color w:val="2980b9"/>
            <w:u w:val="single"/>
          </w:rPr>
          <w:t xml:space="preserve">https://www.fullpicture.app/item/4d624ccf30c0ca6ee79d431a23c3d501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19BA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library/shao-shu-zu-qun-yu-yan-huo-li-1rmfohq1/sustainabilitypublished-pdf-xilxbdbm" TargetMode="External"/><Relationship Id="rId8" Type="http://schemas.openxmlformats.org/officeDocument/2006/relationships/hyperlink" Target="https://www.fullpicture.app/item/4d624ccf30c0ca6ee79d431a23c3d5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2023-03-30T12:40:21+02:00</dcterms:created>
  <dcterms:modified xsi:type="dcterms:W3CDTF">2023-03-30T12:40:21+02:00</dcterms:modified>
</cp:coreProperties>
</file>

<file path=docProps/custom.xml><?xml version="1.0" encoding="utf-8"?>
<Properties xmlns="http://schemas.openxmlformats.org/officeDocument/2006/custom-properties" xmlns:vt="http://schemas.openxmlformats.org/officeDocument/2006/docPropsVTypes"/>
</file>