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全文：全球土地热潮的国际政治经济学：对趋势、规模、地理和驱动因素的批判性评估</w:t>
      </w:r>
      <w:br/>
      <w:hyperlink r:id="rId7" w:history="1">
        <w:r>
          <w:rPr>
            <w:color w:val="2980b9"/>
            <w:u w:val="single"/>
          </w:rPr>
          <w:t xml:space="preserve">https://www-tandfonline-com.myaccess.library.utoronto.ca/doi/full/10.1080/03066150.2012.674940</w:t>
        </w:r>
      </w:hyperlink>
    </w:p>
    <w:p>
      <w:pPr>
        <w:pStyle w:val="Heading1"/>
      </w:pPr>
      <w:bookmarkStart w:id="2" w:name="_Toc2"/>
      <w:r>
        <w:t>Article summary:</w:t>
      </w:r>
      <w:bookmarkEnd w:id="2"/>
    </w:p>
    <w:p>
      <w:pPr>
        <w:jc w:val="both"/>
      </w:pPr>
      <w:r>
        <w:rPr/>
        <w:t xml:space="preserve">1. 全球土地热潮是由农业综合企业、投资基金和政府机构在低收入国家获得大片农田的长期权利引发的，对世界农业和受援国生计产生深远影响。</w:t>
      </w:r>
    </w:p>
    <w:p>
      <w:pPr>
        <w:jc w:val="both"/>
      </w:pPr>
      <w:r>
        <w:rPr/>
        <w:t xml:space="preserve"/>
      </w:r>
    </w:p>
    <w:p>
      <w:pPr>
        <w:jc w:val="both"/>
      </w:pPr>
      <w:r>
        <w:rPr/>
        <w:t xml:space="preserve">2. 规模和地理位置：媒体报道显示，大规模土地征用涉及数千万公顷的土地，主要集中在非洲地区。</w:t>
      </w:r>
    </w:p>
    <w:p>
      <w:pPr>
        <w:jc w:val="both"/>
      </w:pPr>
      <w:r>
        <w:rPr/>
        <w:t xml:space="preserve"/>
      </w:r>
    </w:p>
    <w:p>
      <w:pPr>
        <w:jc w:val="both"/>
      </w:pPr>
      <w:r>
        <w:rPr/>
        <w:t xml:space="preserve">3. 驱动因素：除了普遍存在的假设外，还有一组更复杂的驱动因素，反映了全球金融、农业企业与当地群体之间经济和地缘政治关系的根本转变。</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这篇文章对全球土地热潮进行了批判性评估，但也存在一些潜在的偏见和局限性。首先，文章提到私营部门对农产品价格上涨的预期和政府对粮食安全的担忧是导致农业投资征地的基础，但没有深入探讨这些预期和担忧背后的动机和利益关系。这可能导致对驱动因素的不完整理解。</w:t>
      </w:r>
    </w:p>
    <w:p>
      <w:pPr>
        <w:jc w:val="both"/>
      </w:pPr>
      <w:r>
        <w:rPr/>
        <w:t xml:space="preserve"/>
      </w:r>
    </w:p>
    <w:p>
      <w:pPr>
        <w:jc w:val="both"/>
      </w:pPr>
      <w:r>
        <w:rPr/>
        <w:t xml:space="preserve">其次，在讨论规模和地理位置时，文章引用了媒体报道和数据集进行定量分析，但并未提及可能存在的媒体偏见或数据收集方法上的局限性。这可能影响对土地热潮现象真实规模的准确理解。</w:t>
      </w:r>
    </w:p>
    <w:p>
      <w:pPr>
        <w:jc w:val="both"/>
      </w:pPr>
      <w:r>
        <w:rPr/>
        <w:t xml:space="preserve"/>
      </w:r>
    </w:p>
    <w:p>
      <w:pPr>
        <w:jc w:val="both"/>
      </w:pPr>
      <w:r>
        <w:rPr/>
        <w:t xml:space="preserve">此外，文章没有充分考虑到当地社区和农民在土地征用过程中所面临的挑战和影响。缺乏对受影响群体声音的呈现可能导致片面报道，并忽视了他们在土地争端中的权益。</w:t>
      </w:r>
    </w:p>
    <w:p>
      <w:pPr>
        <w:jc w:val="both"/>
      </w:pPr>
      <w:r>
        <w:rPr/>
        <w:t xml:space="preserve"/>
      </w:r>
    </w:p>
    <w:p>
      <w:pPr>
        <w:jc w:val="both"/>
      </w:pPr>
      <w:r>
        <w:rPr/>
        <w:t xml:space="preserve">文章还缺乏对政府参与、法律框架以及国际组织在土地热潮中扮演角色的深入探讨。这些因素对于全面理解土地热潮现象以及制定有效政策应对措施至关重要。</w:t>
      </w:r>
    </w:p>
    <w:p>
      <w:pPr>
        <w:jc w:val="both"/>
      </w:pPr>
      <w:r>
        <w:rPr/>
        <w:t xml:space="preserve"/>
      </w:r>
    </w:p>
    <w:p>
      <w:pPr>
        <w:jc w:val="both"/>
      </w:pPr>
      <w:r>
        <w:rPr/>
        <w:t xml:space="preserve">最后，文章未能提供足够的证据来支持其观点或主张。缺乏充分论证可能使读者难以接受作者所提出的结论，并降低了文章的说服力。</w:t>
      </w:r>
    </w:p>
    <w:p>
      <w:pPr>
        <w:jc w:val="both"/>
      </w:pPr>
      <w:r>
        <w:rPr/>
        <w:t xml:space="preserve"/>
      </w:r>
    </w:p>
    <w:p>
      <w:pPr>
        <w:jc w:val="both"/>
      </w:pPr>
      <w:r>
        <w:rPr/>
        <w:t xml:space="preserve">综上所述，尽管该文章对全球土地热潮进行了一定程度上的批判性评估，但仍存在着一些偏见、片面报道、无根据主张以及未考虑到所有相关因素等问题。为了更全面、客观地理解土地热潮现象，并制定有效应对措施，需要进一步深入研究并考虑各方利益。</w:t>
      </w:r>
    </w:p>
    <w:p>
      <w:pPr>
        <w:pStyle w:val="Heading1"/>
      </w:pPr>
      <w:bookmarkStart w:id="5" w:name="_Toc5"/>
      <w:r>
        <w:t>Topics for further research:</w:t>
      </w:r>
      <w:bookmarkEnd w:id="5"/>
    </w:p>
    <w:p>
      <w:pPr>
        <w:spacing w:after="0"/>
        <w:numPr>
          <w:ilvl w:val="0"/>
          <w:numId w:val="2"/>
        </w:numPr>
      </w:pPr>
      <w:r>
        <w:rPr/>
        <w:t xml:space="preserve">私营部门和政府的动机和利益关系
</w:t>
      </w:r>
    </w:p>
    <w:p>
      <w:pPr>
        <w:spacing w:after="0"/>
        <w:numPr>
          <w:ilvl w:val="0"/>
          <w:numId w:val="2"/>
        </w:numPr>
      </w:pPr>
      <w:r>
        <w:rPr/>
        <w:t xml:space="preserve">媒体报道和数据集的偏见和局限性
</w:t>
      </w:r>
    </w:p>
    <w:p>
      <w:pPr>
        <w:spacing w:after="0"/>
        <w:numPr>
          <w:ilvl w:val="0"/>
          <w:numId w:val="2"/>
        </w:numPr>
      </w:pPr>
      <w:r>
        <w:rPr/>
        <w:t xml:space="preserve">当地社区和农民在土地征用中的挑战和影响
</w:t>
      </w:r>
    </w:p>
    <w:p>
      <w:pPr>
        <w:spacing w:after="0"/>
        <w:numPr>
          <w:ilvl w:val="0"/>
          <w:numId w:val="2"/>
        </w:numPr>
      </w:pPr>
      <w:r>
        <w:rPr/>
        <w:t xml:space="preserve">政府参与、法律框架和国际组织在土地热潮中的角色
</w:t>
      </w:r>
    </w:p>
    <w:p>
      <w:pPr>
        <w:spacing w:after="0"/>
        <w:numPr>
          <w:ilvl w:val="0"/>
          <w:numId w:val="2"/>
        </w:numPr>
      </w:pPr>
      <w:r>
        <w:rPr/>
        <w:t xml:space="preserve">文章观点和主张的证据支持
</w:t>
      </w:r>
    </w:p>
    <w:p>
      <w:pPr>
        <w:numPr>
          <w:ilvl w:val="0"/>
          <w:numId w:val="2"/>
        </w:numPr>
      </w:pPr>
      <w:r>
        <w:rPr/>
        <w:t xml:space="preserve">全面理解土地热潮现象和制定有效政策的必要性</w:t>
      </w:r>
    </w:p>
    <w:p>
      <w:pPr>
        <w:pStyle w:val="Heading1"/>
      </w:pPr>
      <w:bookmarkStart w:id="6" w:name="_Toc6"/>
      <w:r>
        <w:t>Report location:</w:t>
      </w:r>
      <w:bookmarkEnd w:id="6"/>
    </w:p>
    <w:p>
      <w:hyperlink r:id="rId8" w:history="1">
        <w:r>
          <w:rPr>
            <w:color w:val="2980b9"/>
            <w:u w:val="single"/>
          </w:rPr>
          <w:t xml:space="preserve">https://www.fullpicture.app/item/4c7e13d741065a7e4815551be990f3d6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8604BE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tandfonline-com.myaccess.library.utoronto.ca/doi/full/10.1080/03066150.2012.674940" TargetMode="External"/><Relationship Id="rId8" Type="http://schemas.openxmlformats.org/officeDocument/2006/relationships/hyperlink" Target="https://www.fullpicture.app/item/4c7e13d741065a7e4815551be990f3d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2024-06-07T14:12:10+02:00</dcterms:created>
  <dcterms:modified xsi:type="dcterms:W3CDTF">2024-06-07T14:12:10+02:00</dcterms:modified>
</cp:coreProperties>
</file>

<file path=docProps/custom.xml><?xml version="1.0" encoding="utf-8"?>
<Properties xmlns="http://schemas.openxmlformats.org/officeDocument/2006/custom-properties" xmlns:vt="http://schemas.openxmlformats.org/officeDocument/2006/docPropsVTypes"/>
</file>