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Novel functions for orphan G protein-coupled receptors – the GPR50/TGFß receptor complex | ANR</w:t>
      </w:r>
      <w:br/>
      <w:hyperlink r:id="rId7" w:history="1">
        <w:r>
          <w:rPr>
            <w:color w:val="2980b9"/>
            <w:u w:val="single"/>
          </w:rPr>
          <w:t xml:space="preserve">https://anr.fr/Project-ANR-16-CE18-0013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7TM domain G protein-coupled receptors are a versatile and successful protein family, but around 100 of them remain orphaned without an identified endogenous ligand.</w:t>
      </w:r>
    </w:p>
    <w:p>
      <w:pPr>
        <w:jc w:val="both"/>
      </w:pPr>
      <w:r>
        <w:rPr/>
        <w:t xml:space="preserve">2. The function of orphan GPCRs can be defined by their capacity to allosterically regulate the function of other receptors in common protein complexes, rather than their ability to respond to a ligand.</w:t>
      </w:r>
    </w:p>
    <w:p>
      <w:pPr>
        <w:jc w:val="both"/>
      </w:pPr>
      <w:r>
        <w:rPr/>
        <w:t xml:space="preserve">3. The project aims to decipher the ligand-independent functions of GPR50, an orphan GPCR with potential therapeutic applications in metabolic and mental disorders. Expanding the function of orphan 7TM proteins beyond their potential ligand-dependent functions could open up unexplored drug targets.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孤儿G蛋白偶联受体的研究项目的简介。文章提到了孤儿G蛋白偶联受体是一类未被匹配到内源性配体的GPCR，但它们具有巨大的治疗潜力。作者提出了一个新的概念来定义孤儿GPCR的功能，即不依赖于其对配体的反应能力，而是依赖于其调节共同蛋白复合物中其他受体功能的能力。该项目旨在揭示GPR50在多个病理系统中无需配体参与的功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一些问题。首先，它没有提供足够的证据来支持作者所提出的新概念，并且没有探讨这种方法是否可行或有效。其次，文章只涉及到了GPR50这一个孤儿GPCR，并没有对其他孤儿GPCR进行深入探讨。此外，文章也没有考虑到可能存在的风险和副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此外，该文章似乎更加强调了GPR50在代谢和精神障碍中的作用，而忽略了其他可能存在的作用和影响因素。这种片面报道可能会导致读者对该领域的理解存在偏差。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总之，该文章提供了一个有趣的研究方向，但需要更多的证据和探索来支持作者所提出的新概念，并且需要更加全面地考虑可能存在的风险和影响因素。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Evidence to support the new concept
</w:t>
      </w:r>
    </w:p>
    <w:p>
      <w:pPr>
        <w:spacing w:after="0"/>
        <w:numPr>
          <w:ilvl w:val="0"/>
          <w:numId w:val="2"/>
        </w:numPr>
      </w:pPr>
      <w:r>
        <w:rPr/>
        <w:t xml:space="preserve">Feasibility and effectiveness of the approach
</w:t>
      </w:r>
    </w:p>
    <w:p>
      <w:pPr>
        <w:spacing w:after="0"/>
        <w:numPr>
          <w:ilvl w:val="0"/>
          <w:numId w:val="2"/>
        </w:numPr>
      </w:pPr>
      <w:r>
        <w:rPr/>
        <w:t xml:space="preserve">Other orphan GPCRs
</w:t>
      </w:r>
    </w:p>
    <w:p>
      <w:pPr>
        <w:spacing w:after="0"/>
        <w:numPr>
          <w:ilvl w:val="0"/>
          <w:numId w:val="2"/>
        </w:numPr>
      </w:pPr>
      <w:r>
        <w:rPr/>
        <w:t xml:space="preserve">Risks and side effects
</w:t>
      </w:r>
    </w:p>
    <w:p>
      <w:pPr>
        <w:spacing w:after="0"/>
        <w:numPr>
          <w:ilvl w:val="0"/>
          <w:numId w:val="2"/>
        </w:numPr>
      </w:pPr>
      <w:r>
        <w:rPr/>
        <w:t xml:space="preserve">Other potential roles and factors
</w:t>
      </w:r>
    </w:p>
    <w:p>
      <w:pPr>
        <w:numPr>
          <w:ilvl w:val="0"/>
          <w:numId w:val="2"/>
        </w:numPr>
      </w:pPr>
      <w:r>
        <w:rPr/>
        <w:t xml:space="preserve">Comprehensive consideration of risks and impact factors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https://www.fullpicture.app/item/4b4bfdb4e55f086d7fbafd1b40aeb3cf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16F8E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r.fr/Project-ANR-16-CE18-0013" TargetMode="External"/><Relationship Id="rId8" Type="http://schemas.openxmlformats.org/officeDocument/2006/relationships/hyperlink" Target="https://www.fullpicture.app/item/4b4bfdb4e55f086d7fbafd1b40aeb3c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2023-12-28T14:42:15+01:00</dcterms:created>
  <dcterms:modified xsi:type="dcterms:W3CDTF">2023-12-28T14:42:15+01:00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