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将心比心、美美与共：情感视野下的共同富裕</w:t>
      </w:r>
      <w:br/>
      <w:hyperlink r:id="rId7" w:history="1">
        <w:r>
          <w:rPr>
            <w:color w:val="2980b9"/>
            <w:u w:val="single"/>
          </w:rPr>
          <w:t xml:space="preserve">https://www.douban.com/note/846499990/?_i=9319093lIrx6n6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Emotion is a complex and fragmented concept that can be divided into three fragments: emotion, reason, and value.</w:t>
      </w:r>
    </w:p>
    <w:p>
      <w:pPr>
        <w:jc w:val="both"/>
      </w:pPr>
      <w:r>
        <w:rPr/>
        <w:t xml:space="preserve">2. Common prosperity originates from individual emotional appeals, is built on people's emotional flow, and is attributed to individual emotional experience.</w:t>
      </w:r>
    </w:p>
    <w:p>
      <w:pPr>
        <w:jc w:val="both"/>
      </w:pPr>
      <w:r>
        <w:rPr/>
        <w:t xml:space="preserve">3. To promote common prosperity, it is necessary to actively create, stimulate, generate and cultivate the emotional pursuit of seeking truth, kindness and beauty.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作为一篇关于情感视角下的共同富裕的文章，该文对情感的定义和分类进行了详细的阐述。然而，在其分析中存在一些潜在偏见和片面报道。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将情感定义为“人体器官和心理机制的遗传表达”，这种定义忽略了社会和历史因素对情感产生影响的事实。事实上，情感是一个复杂的概念，既包括内在本质也包括后天发展，是社会、历史建构和精神启示的文明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其次，该文将情感分为三个部分：情感、理性和价值。然而，在实际生活中，这三个部分并不是完全独立的。例如，道德观念和价值观通常与情感紧密相关，并且经常被认为是情感的一部分。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提出共同富裕概念时，该文强调了个人情感诉求对于共同富裕起源的重要性。然而，在现代社会中，共同富裕不仅仅是个人之间的问题，还涉及到国家、地区以及全球范围内不同群体之间的利益平衡问题。因此，在探讨共同富裕时需要考虑更广泛、更复杂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最后，在提出促进真理、善良和美好追求等方面时，该文没有提供足够充分的证据来支持这些主张。这些主张可能只是作者自己主观想法，并没有得到广泛认可或证明。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总之，尽管该文提供了有关情感视角下共同富裕概念的一些有用信息，但它也存在着一些偏见和缺失考虑点。在未来研究中需要更加全面地考虑各种因素，并提供更多证据来支持所提出的主张。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社会和历史因素对情感的影响
</w:t>
      </w:r>
    </w:p>
    <w:p>
      <w:pPr>
        <w:spacing w:after="0"/>
        <w:numPr>
          <w:ilvl w:val="0"/>
          <w:numId w:val="2"/>
        </w:numPr>
      </w:pPr>
      <w:r>
        <w:rPr/>
        <w:t xml:space="preserve">情感、理性和价值的相互关系
</w:t>
      </w:r>
    </w:p>
    <w:p>
      <w:pPr>
        <w:spacing w:after="0"/>
        <w:numPr>
          <w:ilvl w:val="0"/>
          <w:numId w:val="2"/>
        </w:numPr>
      </w:pPr>
      <w:r>
        <w:rPr/>
        <w:t xml:space="preserve">共同富裕的多层次性和复杂性
</w:t>
      </w:r>
    </w:p>
    <w:p>
      <w:pPr>
        <w:spacing w:after="0"/>
        <w:numPr>
          <w:ilvl w:val="0"/>
          <w:numId w:val="2"/>
        </w:numPr>
      </w:pPr>
      <w:r>
        <w:rPr/>
        <w:t xml:space="preserve">国家、地区和全球范围内的利益平衡问题
</w:t>
      </w:r>
    </w:p>
    <w:p>
      <w:pPr>
        <w:spacing w:after="0"/>
        <w:numPr>
          <w:ilvl w:val="0"/>
          <w:numId w:val="2"/>
        </w:numPr>
      </w:pPr>
      <w:r>
        <w:rPr/>
        <w:t xml:space="preserve">促进真理、善良和美好追求的证据支持
</w:t>
      </w:r>
    </w:p>
    <w:p>
      <w:pPr>
        <w:numPr>
          <w:ilvl w:val="0"/>
          <w:numId w:val="2"/>
        </w:numPr>
      </w:pPr>
      <w:r>
        <w:rPr/>
        <w:t xml:space="preserve">更全面考虑各种因素和提供更多证据的必要性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https://www.fullpicture.app/item/48bc8a9edc99271f82e6c8ae1d32b983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C157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uban.com/note/846499990/?_i=9319093lIrx6n6" TargetMode="External"/><Relationship Id="rId8" Type="http://schemas.openxmlformats.org/officeDocument/2006/relationships/hyperlink" Target="https://www.fullpicture.app/item/48bc8a9edc99271f82e6c8ae1d32b9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2023-12-29T04:39:38+01:00</dcterms:created>
  <dcterms:modified xsi:type="dcterms:W3CDTF">2023-12-29T04:39:38+01:00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