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SIRT6-regulated macrophage efferocytosis epigenetically controls inflammation resolution of diabetic periodontitis - PubMed</w:t>
      </w:r>
      <w:br/>
      <w:hyperlink r:id="rId7" w:history="1">
        <w:r>
          <w:rPr>
            <w:color w:val="2980b9"/>
            <w:u w:val="single"/>
          </w:rPr>
          <w:t xml:space="preserve">https://pubmed-ncbi-nlm-nih-gov-443.webvpn.bjmu.edu.cn/36593966/</w:t>
        </w:r>
      </w:hyperlink>
    </w:p>
    <w:p>
      <w:pPr>
        <w:pStyle w:val="Heading1"/>
      </w:pPr>
      <w:bookmarkStart w:id="2" w:name="_Toc2"/>
      <w:r>
        <w:t>Article summary:</w:t>
      </w:r>
      <w:bookmarkEnd w:id="2"/>
    </w:p>
    <w:p>
      <w:pPr>
        <w:jc w:val="both"/>
      </w:pPr>
      <w:r>
        <w:rPr/>
        <w:t xml:space="preserve">1. SIRT6调节巨噬细胞吞噬作用在表观遗传水平上控制糖尿病牙周炎的炎症解决。</w:t>
      </w:r>
    </w:p>
    <w:p>
      <w:pPr>
        <w:jc w:val="both"/>
      </w:pPr>
      <w:r>
        <w:rPr/>
        <w:t xml:space="preserve"/>
      </w:r>
    </w:p>
    <w:p>
      <w:pPr>
        <w:jc w:val="both"/>
      </w:pPr>
      <w:r>
        <w:rPr/>
        <w:t xml:space="preserve">2. 研究发现SIRT6在调控巨噬细胞吞噬作用中起关键作用，通过表观遗传机制调控炎症解决过程。</w:t>
      </w:r>
    </w:p>
    <w:p>
      <w:pPr>
        <w:jc w:val="both"/>
      </w:pPr>
      <w:r>
        <w:rPr/>
        <w:t xml:space="preserve"/>
      </w:r>
    </w:p>
    <w:p>
      <w:pPr>
        <w:jc w:val="both"/>
      </w:pPr>
      <w:r>
        <w:rPr/>
        <w:t xml:space="preserve">3. 这项研究揭示了SIRT6在治疗和预防糖尿病牙周炎中的潜在作用，并为开发新的治疗策略提供了理论基础。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对于上述文章的详细批判性分析，需要先阅读文章的正文内容。由于只提供了文章的标题和作者信息，并没有提供具体的正文内容，因此无法进行详细的分析和提供见解。</w:t>
      </w:r>
    </w:p>
    <w:p>
      <w:pPr>
        <w:jc w:val="both"/>
      </w:pPr>
      <w:r>
        <w:rPr/>
        <w:t xml:space="preserve"/>
      </w:r>
    </w:p>
    <w:p>
      <w:pPr>
        <w:jc w:val="both"/>
      </w:pPr>
      <w:r>
        <w:rPr/>
        <w:t xml:space="preserve">然而，根据标题可以推测该篇文章可能是关于SIRT6调节巨噬细胞吞噬作用对糖尿病牙周炎炎症解决的影响。在进行批判性分析时，可以考虑以下几个方面：</w:t>
      </w:r>
    </w:p>
    <w:p>
      <w:pPr>
        <w:jc w:val="both"/>
      </w:pPr>
      <w:r>
        <w:rPr/>
        <w:t xml:space="preserve"/>
      </w:r>
    </w:p>
    <w:p>
      <w:pPr>
        <w:jc w:val="both"/>
      </w:pPr>
      <w:r>
        <w:rPr/>
        <w:t xml:space="preserve">1. 潜在偏见及来源：需要注意作者是否有可能存在潜在偏见或利益冲突，例如是否有资金支持或与相关产业有关联。</w:t>
      </w:r>
    </w:p>
    <w:p>
      <w:pPr>
        <w:jc w:val="both"/>
      </w:pPr>
      <w:r>
        <w:rPr/>
        <w:t xml:space="preserve"/>
      </w:r>
    </w:p>
    <w:p>
      <w:pPr>
        <w:jc w:val="both"/>
      </w:pPr>
      <w:r>
        <w:rPr/>
        <w:t xml:space="preserve">2. 片面报道：需要评估文章是否只报道了一方面的结果或观点，而忽略了其他可能存在的因素或观点。</w:t>
      </w:r>
    </w:p>
    <w:p>
      <w:pPr>
        <w:jc w:val="both"/>
      </w:pPr>
      <w:r>
        <w:rPr/>
        <w:t xml:space="preserve"/>
      </w:r>
    </w:p>
    <w:p>
      <w:pPr>
        <w:jc w:val="both"/>
      </w:pPr>
      <w:r>
        <w:rPr/>
        <w:t xml:space="preserve">3. 无根据的主张：需要检查文章中是否存在没有足够证据支持的主张或结论。</w:t>
      </w:r>
    </w:p>
    <w:p>
      <w:pPr>
        <w:jc w:val="both"/>
      </w:pPr>
      <w:r>
        <w:rPr/>
        <w:t xml:space="preserve"/>
      </w:r>
    </w:p>
    <w:p>
      <w:pPr>
        <w:jc w:val="both"/>
      </w:pPr>
      <w:r>
        <w:rPr/>
        <w:t xml:space="preserve">4. 缺失的考虑点：需要确定文章是否遗漏了重要的考虑因素或变量，这些因素可能会对结果产生重要影响。</w:t>
      </w:r>
    </w:p>
    <w:p>
      <w:pPr>
        <w:jc w:val="both"/>
      </w:pPr>
      <w:r>
        <w:rPr/>
        <w:t xml:space="preserve"/>
      </w:r>
    </w:p>
    <w:p>
      <w:pPr>
        <w:jc w:val="both"/>
      </w:pPr>
      <w:r>
        <w:rPr/>
        <w:t xml:space="preserve">5. 主张缺乏证据支持：需要评估文章中所提出主张是否有足够的科学证据支持，例如实验数据、统计分析等。</w:t>
      </w:r>
    </w:p>
    <w:p>
      <w:pPr>
        <w:jc w:val="both"/>
      </w:pPr>
      <w:r>
        <w:rPr/>
        <w:t xml:space="preserve"/>
      </w:r>
    </w:p>
    <w:p>
      <w:pPr>
        <w:jc w:val="both"/>
      </w:pPr>
      <w:r>
        <w:rPr/>
        <w:t xml:space="preserve">6. 未探索的反驳：需要确定文章是否考虑了可能存在的反驳观点，并进行相应的讨论和分析。</w:t>
      </w:r>
    </w:p>
    <w:p>
      <w:pPr>
        <w:jc w:val="both"/>
      </w:pPr>
      <w:r>
        <w:rPr/>
        <w:t xml:space="preserve"/>
      </w:r>
    </w:p>
    <w:p>
      <w:pPr>
        <w:jc w:val="both"/>
      </w:pPr>
      <w:r>
        <w:rPr/>
        <w:t xml:space="preserve">7. 宣传内容和偏袒：需要评估文章是否存在宣传性语言或对某一方面持有明显偏袒的态度。</w:t>
      </w:r>
    </w:p>
    <w:p>
      <w:pPr>
        <w:jc w:val="both"/>
      </w:pPr>
      <w:r>
        <w:rPr/>
        <w:t xml:space="preserve"/>
      </w:r>
    </w:p>
    <w:p>
      <w:pPr>
        <w:jc w:val="both"/>
      </w:pPr>
      <w:r>
        <w:rPr/>
        <w:t xml:space="preserve">8. 是否注意到可能的风险：需要确定文章是否提及了相关研究可能存在的风险或局限性。</w:t>
      </w:r>
    </w:p>
    <w:p>
      <w:pPr>
        <w:jc w:val="both"/>
      </w:pPr>
      <w:r>
        <w:rPr/>
        <w:t xml:space="preserve"/>
      </w:r>
    </w:p>
    <w:p>
      <w:pPr>
        <w:jc w:val="both"/>
      </w:pPr>
      <w:r>
        <w:rPr/>
        <w:t xml:space="preserve">9. 平等呈现双方：需要评估文章是否平等地呈现了不同观点或证据，而不是只关注一方面。</w:t>
      </w:r>
    </w:p>
    <w:p>
      <w:pPr>
        <w:jc w:val="both"/>
      </w:pPr>
      <w:r>
        <w:rPr/>
        <w:t xml:space="preserve"/>
      </w:r>
    </w:p>
    <w:p>
      <w:pPr>
        <w:jc w:val="both"/>
      </w:pPr>
      <w:r>
        <w:rPr/>
        <w:t xml:space="preserve">综上所述，对于上述文章的详细批判性分析需要进一步获取正文内容才能进行。</w:t>
      </w:r>
    </w:p>
    <w:p>
      <w:pPr>
        <w:pStyle w:val="Heading1"/>
      </w:pPr>
      <w:bookmarkStart w:id="5" w:name="_Toc5"/>
      <w:r>
        <w:t>Topics for further research:</w:t>
      </w:r>
      <w:bookmarkEnd w:id="5"/>
    </w:p>
    <w:p>
      <w:pPr>
        <w:spacing w:after="0"/>
        <w:numPr>
          <w:ilvl w:val="0"/>
          <w:numId w:val="2"/>
        </w:numPr>
      </w:pPr>
      <w:r>
        <w:rPr/>
        <w:t xml:space="preserve">SIRT6 regulation of macrophage phagocytosis in diabetes-associated periodontal inflammation
</w:t>
      </w:r>
    </w:p>
    <w:p>
      <w:pPr>
        <w:spacing w:after="0"/>
        <w:numPr>
          <w:ilvl w:val="0"/>
          <w:numId w:val="2"/>
        </w:numPr>
      </w:pPr>
      <w:r>
        <w:rPr/>
        <w:t xml:space="preserve">SIRT6 and its role in diabetes and periodontal disease
</w:t>
      </w:r>
    </w:p>
    <w:p>
      <w:pPr>
        <w:spacing w:after="0"/>
        <w:numPr>
          <w:ilvl w:val="0"/>
          <w:numId w:val="2"/>
        </w:numPr>
      </w:pPr>
      <w:r>
        <w:rPr/>
        <w:t xml:space="preserve">Impact of SIRT6 on macrophage phagocytosis in diabetes-associated periodontal inflammation
</w:t>
      </w:r>
    </w:p>
    <w:p>
      <w:pPr>
        <w:spacing w:after="0"/>
        <w:numPr>
          <w:ilvl w:val="0"/>
          <w:numId w:val="2"/>
        </w:numPr>
      </w:pPr>
      <w:r>
        <w:rPr/>
        <w:t xml:space="preserve">Mechanisms underlying the effects of SIRT6 on macrophage phagocytosis in diabetes-associated periodontal inflammation
</w:t>
      </w:r>
    </w:p>
    <w:p>
      <w:pPr>
        <w:spacing w:after="0"/>
        <w:numPr>
          <w:ilvl w:val="0"/>
          <w:numId w:val="2"/>
        </w:numPr>
      </w:pPr>
      <w:r>
        <w:rPr/>
        <w:t xml:space="preserve">Potential therapeutic implications of targeting SIRT6 in diabetes-associated periodontal inflammation
</w:t>
      </w:r>
    </w:p>
    <w:p>
      <w:pPr>
        <w:numPr>
          <w:ilvl w:val="0"/>
          <w:numId w:val="2"/>
        </w:numPr>
      </w:pPr>
      <w:r>
        <w:rPr/>
        <w:t xml:space="preserve">Future directions and unanswered questions in the study of SIRT6 and macrophage phagocytosis in diabetes-associated periodontal inflammation</w:t>
      </w:r>
    </w:p>
    <w:p>
      <w:pPr>
        <w:pStyle w:val="Heading1"/>
      </w:pPr>
      <w:bookmarkStart w:id="6" w:name="_Toc6"/>
      <w:r>
        <w:t>Report location:</w:t>
      </w:r>
      <w:bookmarkEnd w:id="6"/>
    </w:p>
    <w:p>
      <w:hyperlink r:id="rId8" w:history="1">
        <w:r>
          <w:rPr>
            <w:color w:val="2980b9"/>
            <w:u w:val="single"/>
          </w:rPr>
          <w:t xml:space="preserve">https://www.fullpicture.app/item/476df115c8dc555beb8f812ce7d222ee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9CF2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443.webvpn.bjmu.edu.cn/36593966/" TargetMode="External"/><Relationship Id="rId8" Type="http://schemas.openxmlformats.org/officeDocument/2006/relationships/hyperlink" Target="https://www.fullpicture.app/item/476df115c8dc555beb8f812ce7d222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2023-08-04T16:09:47+02:00</dcterms:created>
  <dcterms:modified xsi:type="dcterms:W3CDTF">2023-08-04T16:09:47+02:00</dcterms:modified>
</cp:coreProperties>
</file>

<file path=docProps/custom.xml><?xml version="1.0" encoding="utf-8"?>
<Properties xmlns="http://schemas.openxmlformats.org/officeDocument/2006/custom-properties" xmlns:vt="http://schemas.openxmlformats.org/officeDocument/2006/docPropsVTypes"/>
</file>