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 Hyper Casual Gaming Market 2024 - In-Depth Analysis, Growth Statistics, Upcoming Trends and Growth Opportunities to 2031 | LinkedIn</w:t>
      </w:r>
      <w:br/>
      <w:hyperlink r:id="rId7" w:history="1">
        <w:r>
          <w:rPr>
            <w:color w:val="2980b9"/>
            <w:u w:val="single"/>
          </w:rPr>
          <w:t xml:space="preserve">https://www.linkedin.com/pulse/hyper-casual-gaming-market-2024-in-depth-analysis-3aq4e/</w:t>
        </w:r>
      </w:hyperlink>
    </w:p>
    <w:p>
      <w:pPr>
        <w:pStyle w:val="Heading1"/>
      </w:pPr>
      <w:bookmarkStart w:id="2" w:name="_Toc2"/>
      <w:r>
        <w:t>Article summary:</w:t>
      </w:r>
      <w:bookmarkEnd w:id="2"/>
    </w:p>
    <w:p>
      <w:pPr>
        <w:jc w:val="both"/>
      </w:pPr>
      <w:r>
        <w:rPr/>
        <w:t xml:space="preserve">1. The global hyper casual gaming market is projected to reach multimillion USD by 2031, with an unexpected compound annual growth rate (CAGR) during the forecast period of 2024-2031.</w:t>
      </w:r>
    </w:p>
    <w:p>
      <w:pPr>
        <w:jc w:val="both"/>
      </w:pPr>
      <w:r>
        <w:rPr/>
        <w:t xml:space="preserve">2. The rising adoption of hyper casual gaming among men and women in businesses is driving the market's growth.</w:t>
      </w:r>
    </w:p>
    <w:p>
      <w:pPr>
        <w:jc w:val="both"/>
      </w:pPr>
      <w:r>
        <w:rPr/>
        <w:t xml:space="preserve">3. Key players in the hyper casual gaming market include Zynga, Inc., Take-two Interactive, NetEase Inc., Activision Blizzard, Inc., Rovio Entertainment Corporation, Electronic Arts Inc., Tencent Holdings Limited, GungHo Online Entertainment, Inc (SoftBank Group), Nintendo Co., Ltd., and Kabam Games, Inc.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"Hyper Casual Gaming Market 2024 - In-Depth Analysis, Growth Statistics, Upcoming Trends and Growth Opportunities to 2031" provides an overview of the hyper casual gaming market and its projected growth. However, there are several potential biases and missing points of consideration in the article.</w:t>
      </w:r>
    </w:p>
    <w:p>
      <w:pPr>
        <w:jc w:val="both"/>
      </w:pPr>
      <w:r>
        <w:rPr/>
        <w:t xml:space="preserve"/>
      </w:r>
    </w:p>
    <w:p>
      <w:pPr>
        <w:jc w:val="both"/>
      </w:pPr>
      <w:r>
        <w:rPr/>
        <w:t xml:space="preserve">Firstly, the article claims that the hyper casual gaming market is projected to reach multimillion USD by 2031 at an unexpected CAGR during the forecast period. However, it does not provide any evidence or data to support this claim. The lack of specific numbers or analysis makes it difficult to assess the credibility of this projection.</w:t>
      </w:r>
    </w:p>
    <w:p>
      <w:pPr>
        <w:jc w:val="both"/>
      </w:pPr>
      <w:r>
        <w:rPr/>
        <w:t xml:space="preserve"/>
      </w:r>
    </w:p>
    <w:p>
      <w:pPr>
        <w:jc w:val="both"/>
      </w:pPr>
      <w:r>
        <w:rPr/>
        <w:t xml:space="preserve">Secondly, the article mentions that the COVID-19 pandemic and the Russia-Ukraine war have impacted the global supply chain relationship and raw material prices. While it acknowledges these impacts, it does not provide any further analysis or explanation of how these factors specifically affect the hyper casual gaming industry. Without this information, it is unclear how significant these impacts are and how they may shape the future of the market.</w:t>
      </w:r>
    </w:p>
    <w:p>
      <w:pPr>
        <w:jc w:val="both"/>
      </w:pPr>
      <w:r>
        <w:rPr/>
        <w:t xml:space="preserve"/>
      </w:r>
    </w:p>
    <w:p>
      <w:pPr>
        <w:jc w:val="both"/>
      </w:pPr>
      <w:r>
        <w:rPr/>
        <w:t xml:space="preserve">Additionally, the article lists several key players in the hyper casual gaming market without providing any context or analysis of their significance or market share. This information seems promotional rather than informative.</w:t>
      </w:r>
    </w:p>
    <w:p>
      <w:pPr>
        <w:jc w:val="both"/>
      </w:pPr>
      <w:r>
        <w:rPr/>
        <w:t xml:space="preserve"/>
      </w:r>
    </w:p>
    <w:p>
      <w:pPr>
        <w:jc w:val="both"/>
      </w:pPr>
      <w:r>
        <w:rPr/>
        <w:t xml:space="preserve">Furthermore, there is a lack of exploration of potential risks or challenges facing the hyper casual gaming market. The article focuses primarily on growth opportunities and positive trends without addressing any potential drawbacks or obstacles that may arise.</w:t>
      </w:r>
    </w:p>
    <w:p>
      <w:pPr>
        <w:jc w:val="both"/>
      </w:pPr>
      <w:r>
        <w:rPr/>
        <w:t xml:space="preserve"/>
      </w:r>
    </w:p>
    <w:p>
      <w:pPr>
        <w:jc w:val="both"/>
      </w:pPr>
      <w:r>
        <w:rPr/>
        <w:t xml:space="preserve">Overall, this article lacks critical analysis and supporting evidence for its claims. It presents a one-sided view of the hyper casual gaming market without exploring potential counterarguments or considering possible risks.</w:t>
      </w:r>
    </w:p>
    <w:p>
      <w:pPr>
        <w:pStyle w:val="Heading1"/>
      </w:pPr>
      <w:bookmarkStart w:id="5" w:name="_Toc5"/>
      <w:r>
        <w:t>Topics for further research:</w:t>
      </w:r>
      <w:bookmarkEnd w:id="5"/>
    </w:p>
    <w:p>
      <w:pPr>
        <w:spacing w:after="0"/>
        <w:numPr>
          <w:ilvl w:val="0"/>
          <w:numId w:val="2"/>
        </w:numPr>
      </w:pPr>
      <w:r>
        <w:rPr/>
        <w:t xml:space="preserve">Impact of COVID-19 on hyper casual gaming market
</w:t>
      </w:r>
    </w:p>
    <w:p>
      <w:pPr>
        <w:spacing w:after="0"/>
        <w:numPr>
          <w:ilvl w:val="0"/>
          <w:numId w:val="2"/>
        </w:numPr>
      </w:pPr>
      <w:r>
        <w:rPr/>
        <w:t xml:space="preserve">Analysis of global supply chain disruptions on hyper casual gaming industry
</w:t>
      </w:r>
    </w:p>
    <w:p>
      <w:pPr>
        <w:spacing w:after="0"/>
        <w:numPr>
          <w:ilvl w:val="0"/>
          <w:numId w:val="2"/>
        </w:numPr>
      </w:pPr>
      <w:r>
        <w:rPr/>
        <w:t xml:space="preserve">Effects of Russia-Ukraine war on hyper casual gaming market
</w:t>
      </w:r>
    </w:p>
    <w:p>
      <w:pPr>
        <w:spacing w:after="0"/>
        <w:numPr>
          <w:ilvl w:val="0"/>
          <w:numId w:val="2"/>
        </w:numPr>
      </w:pPr>
      <w:r>
        <w:rPr/>
        <w:t xml:space="preserve">Risks and challenges in the hyper casual gaming industry
</w:t>
      </w:r>
    </w:p>
    <w:p>
      <w:pPr>
        <w:spacing w:after="0"/>
        <w:numPr>
          <w:ilvl w:val="0"/>
          <w:numId w:val="2"/>
        </w:numPr>
      </w:pPr>
      <w:r>
        <w:rPr/>
        <w:t xml:space="preserve">Market share and significance of key players in hyper casual gaming
</w:t>
      </w:r>
    </w:p>
    <w:p>
      <w:pPr>
        <w:numPr>
          <w:ilvl w:val="0"/>
          <w:numId w:val="2"/>
        </w:numPr>
      </w:pPr>
      <w:r>
        <w:rPr/>
        <w:t xml:space="preserve">Counterarguments and criticisms of hyper casual gaming market growth projections</w:t>
      </w:r>
    </w:p>
    <w:p>
      <w:pPr>
        <w:pStyle w:val="Heading1"/>
      </w:pPr>
      <w:bookmarkStart w:id="6" w:name="_Toc6"/>
      <w:r>
        <w:t>Report location:</w:t>
      </w:r>
      <w:bookmarkEnd w:id="6"/>
    </w:p>
    <w:p>
      <w:hyperlink r:id="rId8" w:history="1">
        <w:r>
          <w:rPr>
            <w:color w:val="2980b9"/>
            <w:u w:val="single"/>
          </w:rPr>
          <w:t xml:space="preserve">https://www.fullpicture.app/item/46f24da40e0874e83218ee4a855ac06f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38BF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pulse/hyper-casual-gaming-market-2024-in-depth-analysis-3aq4e/" TargetMode="External"/><Relationship Id="rId8" Type="http://schemas.openxmlformats.org/officeDocument/2006/relationships/hyperlink" Target="https://www.fullpicture.app/item/46f24da40e0874e83218ee4a855ac0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2024-03-10T07:21:27+01:00</dcterms:created>
  <dcterms:modified xsi:type="dcterms:W3CDTF">2024-03-10T07:21:27+01:00</dcterms:modified>
</cp:coreProperties>
</file>

<file path=docProps/custom.xml><?xml version="1.0" encoding="utf-8"?>
<Properties xmlns="http://schemas.openxmlformats.org/officeDocument/2006/custom-properties" xmlns:vt="http://schemas.openxmlformats.org/officeDocument/2006/docPropsVTypes"/>
</file>