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Grammarly</w:t>
      </w:r>
      <w:br/>
      <w:hyperlink r:id="rId7" w:history="1">
        <w:r>
          <w:rPr>
            <w:color w:val="2980b9"/>
            <w:u w:val="single"/>
          </w:rPr>
          <w:t xml:space="preserve">https://app.grammarly.com/ddocs/2278315552</w:t>
        </w:r>
      </w:hyperlink>
    </w:p>
    <w:p>
      <w:pPr>
        <w:pStyle w:val="Heading1"/>
      </w:pPr>
      <w:bookmarkStart w:id="2" w:name="_Toc2"/>
      <w:r>
        <w:t>Article summary:</w:t>
      </w:r>
      <w:bookmarkEnd w:id="2"/>
    </w:p>
    <w:p>
      <w:pPr>
        <w:jc w:val="both"/>
      </w:pPr>
      <w:r>
        <w:rPr/>
        <w:t xml:space="preserve">1. Superannuation in Australia fails to account for the financial penalty women face due to unpaid caring work, resulting in lower retirement savings and increased vulnerability to poverty.</w:t>
      </w:r>
    </w:p>
    <w:p>
      <w:pPr>
        <w:jc w:val="both"/>
      </w:pPr>
      <w:r>
        <w:rPr/>
        <w:t xml:space="preserve">2. The gender pay gap and undervaluing of female-centric occupations contribute to women's lower super balances.</w:t>
      </w:r>
    </w:p>
    <w:p>
      <w:pPr>
        <w:jc w:val="both"/>
      </w:pPr>
      <w:r>
        <w:rPr/>
        <w:t xml:space="preserve">3. Barriers such as time out of the workforce for caregiving and biases in promotions and seniority further exacerbate the gender super gap, leaving women with less savings for retirement.</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discusses the gender pay gap and its impact on women's superannuation (retirement savings) in Australia. It highlights the challenges faced by women in accumulating enough savings for a secure retirement, particularly due to unpaid caring work and lower-paid occupations. While the article raises important issues, there are several potential biases and missing points of consideration that need to be addressed.</w:t>
      </w:r>
    </w:p>
    <w:p>
      <w:pPr>
        <w:jc w:val="both"/>
      </w:pPr>
      <w:r>
        <w:rPr/>
        <w:t xml:space="preserve"/>
      </w:r>
    </w:p>
    <w:p>
      <w:pPr>
        <w:jc w:val="both"/>
      </w:pPr>
      <w:r>
        <w:rPr/>
        <w:t xml:space="preserve">One potential bias in the article is its focus on women as the primary caregivers and men as the primary earners. While it is true that women often take on more unpaid caring work, it is important to recognize that caregiving responsibilities can be shared or taken on by men as well. By framing the issue solely in terms of women's disadvantages, the article may overlook the experiences of men who also face challenges in balancing work and family responsibilities.</w:t>
      </w:r>
    </w:p>
    <w:p>
      <w:pPr>
        <w:jc w:val="both"/>
      </w:pPr>
      <w:r>
        <w:rPr/>
        <w:t xml:space="preserve"/>
      </w:r>
    </w:p>
    <w:p>
      <w:pPr>
        <w:jc w:val="both"/>
      </w:pPr>
      <w:r>
        <w:rPr/>
        <w:t xml:space="preserve">Additionally, the article presents unsupported claims about discrimination against women in the workforce. It suggests that structural elements within the system discriminate against women without providing concrete evidence or exploring alternative explanations for gender disparities in senior management positions. Without a balanced examination of these factors, it is difficult to fully understand the causes of gender inequality in career progression.</w:t>
      </w:r>
    </w:p>
    <w:p>
      <w:pPr>
        <w:jc w:val="both"/>
      </w:pPr>
      <w:r>
        <w:rPr/>
        <w:t xml:space="preserve"/>
      </w:r>
    </w:p>
    <w:p>
      <w:pPr>
        <w:jc w:val="both"/>
      </w:pPr>
      <w:r>
        <w:rPr/>
        <w:t xml:space="preserve">Furthermore, while the article acknowledges that women live longer than men and therefore need their superannuation to last longer, it does not explore potential solutions to address this issue. For example, it could have discussed strategies such as increasing retirement age or implementing policies to encourage older workers to remain in the workforce.</w:t>
      </w:r>
    </w:p>
    <w:p>
      <w:pPr>
        <w:jc w:val="both"/>
      </w:pPr>
      <w:r>
        <w:rPr/>
        <w:t xml:space="preserve"/>
      </w:r>
    </w:p>
    <w:p>
      <w:pPr>
        <w:jc w:val="both"/>
      </w:pPr>
      <w:r>
        <w:rPr/>
        <w:t xml:space="preserve">The article also lacks exploration of counterarguments or alternative perspectives. It primarily focuses on highlighting women's disadvantages without considering potential solutions or addressing opposing viewpoints. This one-sided reporting limits a comprehensive understanding of the issue at hand.</w:t>
      </w:r>
    </w:p>
    <w:p>
      <w:pPr>
        <w:jc w:val="both"/>
      </w:pPr>
      <w:r>
        <w:rPr/>
        <w:t xml:space="preserve"/>
      </w:r>
    </w:p>
    <w:p>
      <w:pPr>
        <w:jc w:val="both"/>
      </w:pPr>
      <w:r>
        <w:rPr/>
        <w:t xml:space="preserve">Moreover, there is a lack of evidence provided for some claims made in the article. For instance, it states that single female pensioners make up the biggest cohort of poverty in retirement without citing any specific data or studies to support this claim. Including relevant statistics would have strengthened the article's arguments and provided a more evidence-based analysis.</w:t>
      </w:r>
    </w:p>
    <w:p>
      <w:pPr>
        <w:jc w:val="both"/>
      </w:pPr>
      <w:r>
        <w:rPr/>
        <w:t xml:space="preserve"/>
      </w:r>
    </w:p>
    <w:p>
      <w:pPr>
        <w:jc w:val="both"/>
      </w:pPr>
      <w:r>
        <w:rPr/>
        <w:t xml:space="preserve">In terms of promotional content, the article mentions specific industry super funds without providing a broader perspective on the range of superannuation options available to individuals. This could be seen as partiality towards these particular funds and may not present a balanced view of the superannuation landscape in Australia.</w:t>
      </w:r>
    </w:p>
    <w:p>
      <w:pPr>
        <w:jc w:val="both"/>
      </w:pPr>
      <w:r>
        <w:rPr/>
        <w:t xml:space="preserve"/>
      </w:r>
    </w:p>
    <w:p>
      <w:pPr>
        <w:jc w:val="both"/>
      </w:pPr>
      <w:r>
        <w:rPr/>
        <w:t xml:space="preserve">Overall, while the article raises important issues regarding gender inequality and retirement savings, it is important to critically analyze its content and consider potential biases, missing evidence, and unexplored counterarguments. A more balanced approach that considers multiple perspectives would provide a more comprehensive understanding of the topic.</w:t>
      </w:r>
    </w:p>
    <w:p>
      <w:pPr>
        <w:pStyle w:val="Heading1"/>
      </w:pPr>
      <w:bookmarkStart w:id="5" w:name="_Toc5"/>
      <w:r>
        <w:t>Topics for further research:</w:t>
      </w:r>
      <w:bookmarkEnd w:id="5"/>
    </w:p>
    <w:p>
      <w:pPr>
        <w:spacing w:after="0"/>
        <w:numPr>
          <w:ilvl w:val="0"/>
          <w:numId w:val="2"/>
        </w:numPr>
      </w:pPr>
      <w:r>
        <w:rPr/>
        <w:t xml:space="preserve">Strategies to address gender inequality in career progression
</w:t>
      </w:r>
    </w:p>
    <w:p>
      <w:pPr>
        <w:spacing w:after="0"/>
        <w:numPr>
          <w:ilvl w:val="0"/>
          <w:numId w:val="2"/>
        </w:numPr>
      </w:pPr>
      <w:r>
        <w:rPr/>
        <w:t xml:space="preserve">Factors contributing to the gender pay gap in Australia
</w:t>
      </w:r>
    </w:p>
    <w:p>
      <w:pPr>
        <w:spacing w:after="0"/>
        <w:numPr>
          <w:ilvl w:val="0"/>
          <w:numId w:val="2"/>
        </w:numPr>
      </w:pPr>
      <w:r>
        <w:rPr/>
        <w:t xml:space="preserve">Men's experiences with work-life balance and caregiving responsibilities
</w:t>
      </w:r>
    </w:p>
    <w:p>
      <w:pPr>
        <w:spacing w:after="0"/>
        <w:numPr>
          <w:ilvl w:val="0"/>
          <w:numId w:val="2"/>
        </w:numPr>
      </w:pPr>
      <w:r>
        <w:rPr/>
        <w:t xml:space="preserve">Solutions to address the longevity gap in retirement savings
</w:t>
      </w:r>
    </w:p>
    <w:p>
      <w:pPr>
        <w:spacing w:after="0"/>
        <w:numPr>
          <w:ilvl w:val="0"/>
          <w:numId w:val="2"/>
        </w:numPr>
      </w:pPr>
      <w:r>
        <w:rPr/>
        <w:t xml:space="preserve">Studies on poverty rates among single female pensioners in Australia
</w:t>
      </w:r>
    </w:p>
    <w:p>
      <w:pPr>
        <w:numPr>
          <w:ilvl w:val="0"/>
          <w:numId w:val="2"/>
        </w:numPr>
      </w:pPr>
      <w:r>
        <w:rPr/>
        <w:t xml:space="preserve">Comparison of different superannuation options available in Australia</w:t>
      </w:r>
    </w:p>
    <w:p>
      <w:pPr>
        <w:pStyle w:val="Heading1"/>
      </w:pPr>
      <w:bookmarkStart w:id="6" w:name="_Toc6"/>
      <w:r>
        <w:t>Report location:</w:t>
      </w:r>
      <w:bookmarkEnd w:id="6"/>
    </w:p>
    <w:p>
      <w:hyperlink r:id="rId8" w:history="1">
        <w:r>
          <w:rPr>
            <w:color w:val="2980b9"/>
            <w:u w:val="single"/>
          </w:rPr>
          <w:t xml:space="preserve">https://www.fullpicture.app/item/45f6509fd0f3ca31de197072d605bf9d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6A4279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pp.grammarly.com/ddocs/2278315552" TargetMode="External"/><Relationship Id="rId8" Type="http://schemas.openxmlformats.org/officeDocument/2006/relationships/hyperlink" Target="https://www.fullpicture.app/item/45f6509fd0f3ca31de197072d605bf9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2024-06-01T16:23:29+02:00</dcterms:created>
  <dcterms:modified xsi:type="dcterms:W3CDTF">2024-06-01T16:23:29+02:00</dcterms:modified>
</cp:coreProperties>
</file>

<file path=docProps/custom.xml><?xml version="1.0" encoding="utf-8"?>
<Properties xmlns="http://schemas.openxmlformats.org/officeDocument/2006/custom-properties" xmlns:vt="http://schemas.openxmlformats.org/officeDocument/2006/docPropsVTypes"/>
</file>