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Biomarkers of sepsis</w:t>
      </w:r>
      <w:br/>
      <w:hyperlink r:id="rId7" w:history="1">
        <w:r>
          <w:rPr>
            <w:color w:val="2980b9"/>
            <w:u w:val="single"/>
          </w:rPr>
          <w:t xml:space="preserve">https://www.tandfonline.com/doi/full/10.3109/10408363.2013.764490</w:t>
        </w:r>
      </w:hyperlink>
    </w:p>
    <w:p>
      <w:pPr>
        <w:pStyle w:val="Heading1"/>
      </w:pPr>
      <w:bookmarkStart w:id="2" w:name="_Toc2"/>
      <w:r>
        <w:t>Article summary:</w:t>
      </w:r>
      <w:bookmarkEnd w:id="2"/>
    </w:p>
    <w:p>
      <w:pPr>
        <w:jc w:val="both"/>
      </w:pPr>
      <w:r>
        <w:rPr/>
        <w:t xml:space="preserve">1. Sepsis is a potentially lethal complication that has seen an increase in incidence, especially among the elderly and outpatients seeking attention in the Emergency Department.</w:t>
      </w:r>
    </w:p>
    <w:p>
      <w:pPr>
        <w:jc w:val="both"/>
      </w:pPr>
      <w:r>
        <w:rPr/>
        <w:t xml:space="preserve">2. The immune response to endotoxin, a lipopolysaccharide found in the cell walls of Gram-negative bacteria, was originally thought to be the cause of sepsis. However, it is now believed that the immune response, not the inciting microorganism, is the problem.</w:t>
      </w:r>
    </w:p>
    <w:p>
      <w:pPr>
        <w:jc w:val="both"/>
      </w:pPr>
      <w:r>
        <w:rPr/>
        <w:t xml:space="preserve">3. Severe sepsis can lead to organ dysfunction and multiple organ failure, resembling the multiple organ dysfunction syndrome seen in patients who survive serious traumatic injury. The cause of organ failure in severe sepsis is unknown but appears to involve some degree of pre-existing immune dysfunction or genetic predisposition.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sepsis, its pathogenesis, and the current understanding of its diagnosis and treatment. However, there are some potential biases and limitations in the article that need to be addressed.</w:t>
      </w:r>
    </w:p>
    <w:p>
      <w:pPr>
        <w:jc w:val="both"/>
      </w:pPr>
      <w:r>
        <w:rPr/>
        <w:t xml:space="preserve"/>
      </w:r>
    </w:p>
    <w:p>
      <w:pPr>
        <w:jc w:val="both"/>
      </w:pPr>
      <w:r>
        <w:rPr/>
        <w:t xml:space="preserve">Firstly, the article focuses mainly on the immune response to endotoxin as the original model for sepsis, which may not fully reflect the complexity of sepsis pathophysiology. While endotoxin is an important PAMP recognized by innate immune cells, other bacterial components and host factors also play critical roles in sepsis development and progression.</w:t>
      </w:r>
    </w:p>
    <w:p>
      <w:pPr>
        <w:jc w:val="both"/>
      </w:pPr>
      <w:r>
        <w:rPr/>
        <w:t xml:space="preserve"/>
      </w:r>
    </w:p>
    <w:p>
      <w:pPr>
        <w:jc w:val="both"/>
      </w:pPr>
      <w:r>
        <w:rPr/>
        <w:t xml:space="preserve">Secondly, the article presents a somewhat simplistic view of sepsis as a hyper-inflammatory response followed by immunosuppression. While this paradigm has been widely accepted, recent studies have challenged this concept and suggested that sepsis involves a more complex interplay between pro- and anti-inflammatory pathways.</w:t>
      </w:r>
    </w:p>
    <w:p>
      <w:pPr>
        <w:jc w:val="both"/>
      </w:pPr>
      <w:r>
        <w:rPr/>
        <w:t xml:space="preserve"/>
      </w:r>
    </w:p>
    <w:p>
      <w:pPr>
        <w:jc w:val="both"/>
      </w:pPr>
      <w:r>
        <w:rPr/>
        <w:t xml:space="preserve">Thirdly, the article does not adequately address the heterogeneity of sepsis patients and their clinical presentations. Sepsis can arise from various types of infections with different pathogens and virulence factors, leading to diverse clinical manifestations and outcomes. Moreover, individual patient factors such as age, comorbidities, genetics, and microbiome may also influence sepsis susceptibility and response to therapy.</w:t>
      </w:r>
    </w:p>
    <w:p>
      <w:pPr>
        <w:jc w:val="both"/>
      </w:pPr>
      <w:r>
        <w:rPr/>
        <w:t xml:space="preserve"/>
      </w:r>
    </w:p>
    <w:p>
      <w:pPr>
        <w:jc w:val="both"/>
      </w:pPr>
      <w:r>
        <w:rPr/>
        <w:t xml:space="preserve">Fourthly, while the article briefly mentions biomarkers of sepsis as potential tools for early diagnosis and risk stratification, it does not provide a critical evaluation of their clinical utility or limitations. Many biomarkers have been proposed for sepsis diagnosis or prognosis prediction but none has yet achieved widespread clinical adoption due to issues such as low sensitivity/specificity or lack of standardization.</w:t>
      </w:r>
    </w:p>
    <w:p>
      <w:pPr>
        <w:jc w:val="both"/>
      </w:pPr>
      <w:r>
        <w:rPr/>
        <w:t xml:space="preserve"/>
      </w:r>
    </w:p>
    <w:p>
      <w:pPr>
        <w:jc w:val="both"/>
      </w:pPr>
      <w:r>
        <w:rPr/>
        <w:t xml:space="preserve">Finally, the article does not discuss potential risks associated with aggressive management of septic patients such as fluid overload or adverse effects of antibiotics. It also does not address ethical considerations in decision-making for critically ill patients with limited prognosis.</w:t>
      </w:r>
    </w:p>
    <w:p>
      <w:pPr>
        <w:jc w:val="both"/>
      </w:pPr>
      <w:r>
        <w:rPr/>
        <w:t xml:space="preserve"/>
      </w:r>
    </w:p>
    <w:p>
      <w:pPr>
        <w:jc w:val="both"/>
      </w:pPr>
      <w:r>
        <w:rPr/>
        <w:t xml:space="preserve">Overall, while the article provides a useful introduction to sepsis, it could benefit from a more nuanced and evidence-based approach that acknowledges the complexity and heterogeneity of this syndrome.</w:t>
      </w:r>
    </w:p>
    <w:p>
      <w:pPr>
        <w:pStyle w:val="Heading1"/>
      </w:pPr>
      <w:bookmarkStart w:id="5" w:name="_Toc5"/>
      <w:r>
        <w:t>Topics for further research:</w:t>
      </w:r>
      <w:bookmarkEnd w:id="5"/>
    </w:p>
    <w:p>
      <w:pPr>
        <w:spacing w:after="0"/>
        <w:numPr>
          <w:ilvl w:val="0"/>
          <w:numId w:val="2"/>
        </w:numPr>
      </w:pPr>
      <w:r>
        <w:rPr/>
        <w:t xml:space="preserve">Sepsis pathophysiology beyond endotoxin
</w:t>
      </w:r>
    </w:p>
    <w:p>
      <w:pPr>
        <w:spacing w:after="0"/>
        <w:numPr>
          <w:ilvl w:val="0"/>
          <w:numId w:val="2"/>
        </w:numPr>
      </w:pPr>
      <w:r>
        <w:rPr/>
        <w:t xml:space="preserve">Complex interplay of pro- and anti-inflammatory pathways in sepsis
</w:t>
      </w:r>
    </w:p>
    <w:p>
      <w:pPr>
        <w:spacing w:after="0"/>
        <w:numPr>
          <w:ilvl w:val="0"/>
          <w:numId w:val="2"/>
        </w:numPr>
      </w:pPr>
      <w:r>
        <w:rPr/>
        <w:t xml:space="preserve">Heterogeneity of sepsis patients and clinical presentations
</w:t>
      </w:r>
    </w:p>
    <w:p>
      <w:pPr>
        <w:spacing w:after="0"/>
        <w:numPr>
          <w:ilvl w:val="0"/>
          <w:numId w:val="2"/>
        </w:numPr>
      </w:pPr>
      <w:r>
        <w:rPr/>
        <w:t xml:space="preserve">Critical evaluation of biomarkers for sepsis diagnosis and prognosis
</w:t>
      </w:r>
    </w:p>
    <w:p>
      <w:pPr>
        <w:spacing w:after="0"/>
        <w:numPr>
          <w:ilvl w:val="0"/>
          <w:numId w:val="2"/>
        </w:numPr>
      </w:pPr>
      <w:r>
        <w:rPr/>
        <w:t xml:space="preserve">Risks and ethical considerations in aggressive management of septic patients
</w:t>
      </w:r>
    </w:p>
    <w:p>
      <w:pPr>
        <w:numPr>
          <w:ilvl w:val="0"/>
          <w:numId w:val="2"/>
        </w:numPr>
      </w:pPr>
      <w:r>
        <w:rPr/>
        <w:t xml:space="preserve">Need for a more nuanced and evidence-based approach to sepsis</w:t>
      </w:r>
    </w:p>
    <w:p>
      <w:pPr>
        <w:pStyle w:val="Heading1"/>
      </w:pPr>
      <w:bookmarkStart w:id="6" w:name="_Toc6"/>
      <w:r>
        <w:t>Report location:</w:t>
      </w:r>
      <w:bookmarkEnd w:id="6"/>
    </w:p>
    <w:p>
      <w:hyperlink r:id="rId8" w:history="1">
        <w:r>
          <w:rPr>
            <w:color w:val="2980b9"/>
            <w:u w:val="single"/>
          </w:rPr>
          <w:t xml:space="preserve">https://www.fullpicture.app/item/42821b5db1828b97357e41b2e6ece2a9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D8B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3109/10408363.2013.764490" TargetMode="External"/><Relationship Id="rId8" Type="http://schemas.openxmlformats.org/officeDocument/2006/relationships/hyperlink" Target="https://www.fullpicture.app/item/42821b5db1828b97357e41b2e6ece2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2023-12-18T18:13:28+01:00</dcterms:created>
  <dcterms:modified xsi:type="dcterms:W3CDTF">2023-12-18T18:13:28+01:00</dcterms:modified>
</cp:coreProperties>
</file>

<file path=docProps/custom.xml><?xml version="1.0" encoding="utf-8"?>
<Properties xmlns="http://schemas.openxmlformats.org/officeDocument/2006/custom-properties" xmlns:vt="http://schemas.openxmlformats.org/officeDocument/2006/docPropsVTypes"/>
</file>