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全文：是什么激励人们去教书，他们为什么离开？ 问责制、绩效和教师保留</w:t>
      </w:r>
      <w:br/>
      <w:hyperlink r:id="rId7" w:history="1">
        <w:r>
          <w:rPr>
            <w:color w:val="2980b9"/>
            <w:u w:val="single"/>
          </w:rPr>
          <w:t xml:space="preserve">https://www.tandfonline.com/doi/full/10.1080/00071005.2019.1589417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离职率：在教师培训后的五年内，样本中实际离开的百分比为19%。其中34%在第二年离开，23%在第三年离开。</w:t>
      </w:r>
    </w:p>
    <w:p>
      <w:pPr>
        <w:jc w:val="both"/>
      </w:pPr>
      <w:r>
        <w:rPr/>
        <w:t xml:space="preserve">2. 教师动机：成为教师的主要原因是想要“做出改变”（69%），与年轻人一起工作（64%）和热爱学科（50%）。预期和实际奖励包括与学生建立关系、看到学生取得进步、创造性和多样性。</w:t>
      </w:r>
    </w:p>
    <w:p>
      <w:pPr>
        <w:jc w:val="both"/>
      </w:pPr>
      <w:r>
        <w:rPr/>
        <w:t xml:space="preserve">3. 离职原因：离开教学的主要原因是工作压力、缺乏支持和管理问题。同时，初级老师感到没有得到足够的培训和指导。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该文章提供了有关教师离职率和教师动机的一些数据和发现。然而，该文章存在一些潜在的偏见和缺失的考虑点。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该文章没有探讨可能导致教师离职的根本原因。它只是提供了一些表面上的原因，如问责制、绩效和教师保留。这种片面报道可能会误导读者，使他们认为这些表面原因是主要原因，而忽略了更深层次的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其次，该文章没有平等地呈现双方。它只关注那些离开或计划离开教学的人，并没有探讨那些选择留下来的人的动机和经验。这种偏袒可能会导致读者对整个情况产生不完整或不准确的印象。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此外，该文章缺乏足够的证据来支持其主张。例如，在讨论教师动机时，它声称“想要创造性”与最终想要离开有关联。然而，它并没有提供足够的证据来支持这个主张。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最后，该文章没有注意到可能存在的风险。例如，在讨论教师流失率时，它指出样本中实际离开的百分比为19%，但没有考虑这可能会对学生产生负面影响，因为他们可能会失去有经验的教师。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综上所述，该文章提供了一些有用的数据和发现，但存在潜在的偏见和缺失的考虑点。读者应该保持批判性思维，并寻找更全面和客观的信息来了解教师离职率和动机。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Root causes of teacher turnover
</w:t>
      </w:r>
    </w:p>
    <w:p>
      <w:pPr>
        <w:spacing w:after="0"/>
        <w:numPr>
          <w:ilvl w:val="0"/>
          <w:numId w:val="2"/>
        </w:numPr>
      </w:pPr>
      <w:r>
        <w:rPr/>
        <w:t xml:space="preserve">Equal representation of both sides
</w:t>
      </w:r>
    </w:p>
    <w:p>
      <w:pPr>
        <w:spacing w:after="0"/>
        <w:numPr>
          <w:ilvl w:val="0"/>
          <w:numId w:val="2"/>
        </w:numPr>
      </w:pPr>
      <w:r>
        <w:rPr/>
        <w:t xml:space="preserve">Evidence to support claims
</w:t>
      </w:r>
    </w:p>
    <w:p>
      <w:pPr>
        <w:spacing w:after="0"/>
        <w:numPr>
          <w:ilvl w:val="0"/>
          <w:numId w:val="2"/>
        </w:numPr>
      </w:pPr>
      <w:r>
        <w:rPr/>
        <w:t xml:space="preserve">Potential negative impact on students
</w:t>
      </w:r>
    </w:p>
    <w:p>
      <w:pPr>
        <w:spacing w:after="0"/>
        <w:numPr>
          <w:ilvl w:val="0"/>
          <w:numId w:val="2"/>
        </w:numPr>
      </w:pPr>
      <w:r>
        <w:rPr/>
        <w:t xml:space="preserve">Critical thinking
</w:t>
      </w:r>
    </w:p>
    <w:p>
      <w:pPr>
        <w:numPr>
          <w:ilvl w:val="0"/>
          <w:numId w:val="2"/>
        </w:numPr>
      </w:pPr>
      <w:r>
        <w:rPr/>
        <w:t xml:space="preserve">Comprehensive and objective information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https://www.fullpicture.app/item/3fd92f4310b0456268cdc9db28f03deb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D5765C7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tandfonline.com/doi/full/10.1080/00071005.2019.1589417" TargetMode="External"/><Relationship Id="rId8" Type="http://schemas.openxmlformats.org/officeDocument/2006/relationships/hyperlink" Target="https://www.fullpicture.app/item/3fd92f4310b0456268cdc9db28f03deb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2023-12-16T04:49:44+01:00</dcterms:created>
  <dcterms:modified xsi:type="dcterms:W3CDTF">2023-12-16T04:49:44+01:00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