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Risk-taking and performance of government bond mutual funds - ScienceDirect</w:t>
      </w:r>
      <w:br/>
      <w:hyperlink r:id="rId7" w:history="1">
        <w:r>
          <w:rPr>
            <w:color w:val="2980b9"/>
            <w:u w:val="single"/>
          </w:rPr>
          <w:t xml:space="preserve">https://vpn.jlu.edu.cn/https/6a6c7576706e6973746865676f6f642146ab1ccab988c2a628982887fb4b0f3fca7e3a30a5/science/article/pii/S1057521921001150?via%3Dihub=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Bond mutual funds can outperform their benchmark indexes, but risk-adjusted returns are consistently negative. </w:t>
      </w:r>
    </w:p>
    <w:p>
      <w:pPr>
        <w:jc w:val="both"/>
      </w:pPr>
      <w:r>
        <w:rPr/>
        <w:t xml:space="preserve">2. Government bond funds exhibit different risk characteristics from their matched benchmark indexes, and fund risk-taking drives the differences between index-adjusted and risk-adjusted performances.</w:t>
      </w:r>
    </w:p>
    <w:p>
      <w:pPr>
        <w:jc w:val="both"/>
      </w:pPr>
      <w:r>
        <w:rPr/>
        <w:t xml:space="preserve">3. The skill component of fund return persists for the subsequent year during normal and high-risk periods, suggesting that managerial abilities play a role in bond fund performance.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该文章主要探讨政府债券基金的风险承担和表现。然而，该文章存在一些潜在的偏见和局限性。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首先，该文章只关注政府债券基金，而忽略了其他类型的债券基金。这可能导致对整个债券市场表现的理解不够全面。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其次，该文章没有考虑到市场环境对基金表现的影响。例如，在经济衰退期间，政府债券通常会表现良好，因为它们被认为是相对安全的投资选择。因此，在评估基金表现时应考虑市场环境。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此外，该文章没有提供足够的证据来支持其结论。例如，在分析中提到了一些数据点，但没有详细说明如何得出这些数据或如何进行统计分析。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最后，该文章可能存在宣传内容和偏袒之嫌。例如，在引用华尔街日报的数据时，作者只引用了那些支持其观点的数据，并没有提及其他可能存在的数据或观点。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综上所述，尽管该文章提供了一些有价值的信息和见解，但仍需要更多证据和平等地呈现双方来支持其结论。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types of bond funds
</w:t>
      </w:r>
    </w:p>
    <w:p>
      <w:pPr>
        <w:spacing w:after="0"/>
        <w:numPr>
          <w:ilvl w:val="0"/>
          <w:numId w:val="2"/>
        </w:numPr>
      </w:pPr>
      <w:r>
        <w:rPr/>
        <w:t xml:space="preserve">Market environment impact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
</w:t>
      </w:r>
    </w:p>
    <w:p>
      <w:pPr>
        <w:spacing w:after="0"/>
        <w:numPr>
          <w:ilvl w:val="0"/>
          <w:numId w:val="2"/>
        </w:numPr>
      </w:pPr>
      <w:r>
        <w:rPr/>
        <w:t xml:space="preserve">Potential bias
</w:t>
      </w:r>
    </w:p>
    <w:p>
      <w:pPr>
        <w:spacing w:after="0"/>
        <w:numPr>
          <w:ilvl w:val="0"/>
          <w:numId w:val="2"/>
        </w:numPr>
      </w:pPr>
      <w:r>
        <w:rPr/>
        <w:t xml:space="preserve">Promotion and favoritism
</w:t>
      </w:r>
    </w:p>
    <w:p>
      <w:pPr>
        <w:numPr>
          <w:ilvl w:val="0"/>
          <w:numId w:val="2"/>
        </w:numPr>
      </w:pPr>
      <w:r>
        <w:rPr/>
        <w:t xml:space="preserve">Need for balanced presentation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https://www.fullpicture.app/item/3f11bdc53bb9397941539c065b250cee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A3EEC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pn.jlu.edu.cn/https/6a6c7576706e6973746865676f6f642146ab1ccab988c2a628982887fb4b0f3fca7e3a30a5/science/article/pii/S1057521921001150?via%3Dihub=" TargetMode="External"/><Relationship Id="rId8" Type="http://schemas.openxmlformats.org/officeDocument/2006/relationships/hyperlink" Target="https://www.fullpicture.app/item/3f11bdc53bb9397941539c065b250ce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2024-01-08T08:53:39+01:00</dcterms:created>
  <dcterms:modified xsi:type="dcterms:W3CDTF">2024-01-08T08:53:39+01:00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