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Wenger, E. (1998). Communities of practice: Learning, meaning and identity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https://link.springer.com/article/10.1023/A:1023947624004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Wenger's concept of communities of practice emphasizes the importance of social learning and identity formation in knowledge acquisition.</w:t>
      </w:r>
    </w:p>
    <w:p>
      <w:pPr>
        <w:jc w:val="both"/>
      </w:pPr>
      <w:r>
        <w:rPr/>
        <w:t xml:space="preserve">2. Mathematics education researchers such as Adler, Boaler, and Lerman have applied this concept to understanding how teachers and students learn mathematics in multilingual classrooms and develop their mathematical identities.</w:t>
      </w:r>
    </w:p>
    <w:p>
      <w:pPr>
        <w:jc w:val="both"/>
      </w:pPr>
      <w:r>
        <w:rPr/>
        <w:t xml:space="preserve">3. Situated cognition theory, which posits that learning is inseparable from the context in which it occurs, is also relevant to understanding mathematics learning within communities of practice.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很遗憾，由于提供的文章只是一个参考文献列表，没有具体的文章内容，因此无法进行详细的批判性分析。请提供完整的文章内容以便进行分析。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https://www.fullpicture.app/item/3e78cc069eb8e3a37504b560c3ebaf41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667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23/A:1023947624004" TargetMode="External"/><Relationship Id="rId8" Type="http://schemas.openxmlformats.org/officeDocument/2006/relationships/hyperlink" Target="https://www.fullpicture.app/item/3e78cc069eb8e3a37504b560c3ebaf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2023-12-29T19:12:45+01:00</dcterms:created>
  <dcterms:modified xsi:type="dcterms:W3CDTF">2023-12-29T19:12:45+01:00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