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Accountability and Accounterability - ScienceDirect</w:t>
      </w:r>
      <w:br/>
      <w:hyperlink r:id="rId7" w:history="1">
        <w:r>
          <w:rPr>
            <w:color w:val="2980b9"/>
            <w:u w:val="single"/>
          </w:rPr>
          <w:t xml:space="preserve">https://www-sciencedirect-com.ezproxy.lib.gla.ac.uk/science/article/pii/S1045235411001699?via%3Dihub=</w:t>
        </w:r>
      </w:hyperlink>
    </w:p>
    <w:p>
      <w:pPr>
        <w:pStyle w:val="Heading1"/>
      </w:pPr>
      <w:bookmarkStart w:id="2" w:name="_Toc2"/>
      <w:r>
        <w:t>Article summary:</w:t>
      </w:r>
      <w:bookmarkEnd w:id="2"/>
    </w:p>
    <w:p>
      <w:pPr>
        <w:jc w:val="both"/>
      </w:pPr>
      <w:r>
        <w:rPr/>
        <w:t xml:space="preserve">1. 本文主要介绍了“Accountability and Accounterability”这个议题，并探讨了会计、责任和问责之间的关系。</w:t>
      </w:r>
    </w:p>
    <w:p>
      <w:pPr>
        <w:jc w:val="both"/>
      </w:pPr>
      <w:r>
        <w:rPr/>
        <w:t xml:space="preserve">2. 文章指出，问责的概念既包含计算又包含叙述，需要同时考虑数量和解释自己的能力。同时，文章也提到了对话、叙事和语言游戏在知识发展中的重要性。</w:t>
      </w:r>
    </w:p>
    <w:p>
      <w:pPr>
        <w:jc w:val="both"/>
      </w:pPr>
      <w:r>
        <w:rPr/>
        <w:t xml:space="preserve">3. 尽管有些学者认为问责可以通过面对面交流来实现，但是在现代社会中，由于权力和金钱等因素的影响，层级制度下的问责更容易被强化。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该文章是一篇关于“Accountability and Accounterability”主题的论文集，旨在探讨会计、问责和责任之间的关系。然而，该文章存在一些偏见和片面报道。</w:t>
      </w:r>
    </w:p>
    <w:p>
      <w:pPr>
        <w:jc w:val="both"/>
      </w:pPr>
      <w:r>
        <w:rPr/>
        <w:t xml:space="preserve"/>
      </w:r>
    </w:p>
    <w:p>
      <w:pPr>
        <w:jc w:val="both"/>
      </w:pPr>
      <w:r>
        <w:rPr/>
        <w:t xml:space="preserve">首先，文章没有充分考虑到会计和问责的负面影响。会计可能导致企业为了达成目标而忽视道德和社会责任，而问责则可能导致过度监管和限制创新。此外，文章没有提及如何平衡这两者之间的关系。</w:t>
      </w:r>
    </w:p>
    <w:p>
      <w:pPr>
        <w:jc w:val="both"/>
      </w:pPr>
      <w:r>
        <w:rPr/>
        <w:t xml:space="preserve"/>
      </w:r>
    </w:p>
    <w:p>
      <w:pPr>
        <w:jc w:val="both"/>
      </w:pPr>
      <w:r>
        <w:rPr/>
        <w:t xml:space="preserve">其次，文章中提到了“counter-institution of resistance to the irresistible logic of accountability”，但并未说明这种反抗机构应该如何建立以及它是否真正有助于解决问题。此外，文章也没有提供足够的证据来支持这种反抗机构是否真正有效。</w:t>
      </w:r>
    </w:p>
    <w:p>
      <w:pPr>
        <w:jc w:val="both"/>
      </w:pPr>
      <w:r>
        <w:rPr/>
        <w:t xml:space="preserve"/>
      </w:r>
    </w:p>
    <w:p>
      <w:pPr>
        <w:jc w:val="both"/>
      </w:pPr>
      <w:r>
        <w:rPr/>
        <w:t xml:space="preserve">第三，文章中强调了故事叙述在问责中的重要性，但并未考虑到故事叙述可能被用来误导或掩盖真相。因此，在强调故事叙述时需要注意其潜在风险。</w:t>
      </w:r>
    </w:p>
    <w:p>
      <w:pPr>
        <w:jc w:val="both"/>
      </w:pPr>
      <w:r>
        <w:rPr/>
        <w:t xml:space="preserve"/>
      </w:r>
    </w:p>
    <w:p>
      <w:pPr>
        <w:jc w:val="both"/>
      </w:pPr>
      <w:r>
        <w:rPr/>
        <w:t xml:space="preserve">最后，文章似乎倾向于支持对问责进行更多研究，并认为它可以帮助企业更好地履行社会责任。然而，在实践中，过度强调问责可能会导致企业过度关注短期利益而忽视长期可持续性。</w:t>
      </w:r>
    </w:p>
    <w:p>
      <w:pPr>
        <w:jc w:val="both"/>
      </w:pPr>
      <w:r>
        <w:rPr/>
        <w:t xml:space="preserve"/>
      </w:r>
    </w:p>
    <w:p>
      <w:pPr>
        <w:jc w:val="both"/>
      </w:pPr>
      <w:r>
        <w:rPr/>
        <w:t xml:space="preserve">总之，该文章提供了一些有价值的见解，但也存在一些偏见和片面报道。在探讨会计、问责和责任之间的关系时，需要更加全面地考虑它们的潜在影响和风险。</w:t>
      </w:r>
    </w:p>
    <w:p>
      <w:pPr>
        <w:pStyle w:val="Heading1"/>
      </w:pPr>
      <w:bookmarkStart w:id="5" w:name="_Toc5"/>
      <w:r>
        <w:t>Topics for further research:</w:t>
      </w:r>
      <w:bookmarkEnd w:id="5"/>
    </w:p>
    <w:p>
      <w:pPr>
        <w:spacing w:after="0"/>
        <w:numPr>
          <w:ilvl w:val="0"/>
          <w:numId w:val="2"/>
        </w:numPr>
      </w:pPr>
      <w:r>
        <w:rPr/>
        <w:t xml:space="preserve">Negative impact of accounting and accountability
</w:t>
      </w:r>
    </w:p>
    <w:p>
      <w:pPr>
        <w:spacing w:after="0"/>
        <w:numPr>
          <w:ilvl w:val="0"/>
          <w:numId w:val="2"/>
        </w:numPr>
      </w:pPr>
      <w:r>
        <w:rPr/>
        <w:t xml:space="preserve">Establishment and effectiveness of counter-institution of resistance
</w:t>
      </w:r>
    </w:p>
    <w:p>
      <w:pPr>
        <w:spacing w:after="0"/>
        <w:numPr>
          <w:ilvl w:val="0"/>
          <w:numId w:val="2"/>
        </w:numPr>
      </w:pPr>
      <w:r>
        <w:rPr/>
        <w:t xml:space="preserve">Potential risks of storytelling in accountability
</w:t>
      </w:r>
    </w:p>
    <w:p>
      <w:pPr>
        <w:spacing w:after="0"/>
        <w:numPr>
          <w:ilvl w:val="0"/>
          <w:numId w:val="2"/>
        </w:numPr>
      </w:pPr>
      <w:r>
        <w:rPr/>
        <w:t xml:space="preserve">Balancing accountability and long-term sustainability
</w:t>
      </w:r>
    </w:p>
    <w:p>
      <w:pPr>
        <w:spacing w:after="0"/>
        <w:numPr>
          <w:ilvl w:val="0"/>
          <w:numId w:val="2"/>
        </w:numPr>
      </w:pPr>
      <w:r>
        <w:rPr/>
        <w:t xml:space="preserve">Comprehensive consideration of potential impacts and risks
</w:t>
      </w:r>
    </w:p>
    <w:p>
      <w:pPr>
        <w:numPr>
          <w:ilvl w:val="0"/>
          <w:numId w:val="2"/>
        </w:numPr>
      </w:pPr>
      <w:r>
        <w:rPr/>
        <w:t xml:space="preserve">Uncovered themes in the article</w:t>
      </w:r>
    </w:p>
    <w:p>
      <w:pPr>
        <w:pStyle w:val="Heading1"/>
      </w:pPr>
      <w:bookmarkStart w:id="6" w:name="_Toc6"/>
      <w:r>
        <w:t>Report location:</w:t>
      </w:r>
      <w:bookmarkEnd w:id="6"/>
    </w:p>
    <w:p>
      <w:hyperlink r:id="rId8" w:history="1">
        <w:r>
          <w:rPr>
            <w:color w:val="2980b9"/>
            <w:u w:val="single"/>
          </w:rPr>
          <w:t xml:space="preserve">https://www.fullpicture.app/item/3ddf4571b5d6093b0a26467cba1103b7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FF99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gla.ac.uk/science/article/pii/S1045235411001699?via%3Dihub=" TargetMode="External"/><Relationship Id="rId8" Type="http://schemas.openxmlformats.org/officeDocument/2006/relationships/hyperlink" Target="https://www.fullpicture.app/item/3ddf4571b5d6093b0a26467cba1103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2023-05-16T00:16:49+02:00</dcterms:created>
  <dcterms:modified xsi:type="dcterms:W3CDTF">2023-05-16T00:16:49+02:00</dcterms:modified>
</cp:coreProperties>
</file>

<file path=docProps/custom.xml><?xml version="1.0" encoding="utf-8"?>
<Properties xmlns="http://schemas.openxmlformats.org/officeDocument/2006/custom-properties" xmlns:vt="http://schemas.openxmlformats.org/officeDocument/2006/docPropsVTypes"/>
</file>