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Academic Proficiency Under the No Child Left Behind Act: Implications for Educational Equity</w:t>
      </w:r>
      <w:br/>
      <w:hyperlink r:id="rId7" w:history="1">
        <w:r>
          <w:rPr>
            <w:color w:val="2980b9"/>
            <w:u w:val="single"/>
          </w:rPr>
          <w:t xml:space="preserve">https://journals.sagepub.com/doi/epdf/10.3102/0013189X034008003</w:t>
        </w:r>
      </w:hyperlink>
    </w:p>
    <w:p>
      <w:pPr>
        <w:pStyle w:val="Heading1"/>
      </w:pPr>
      <w:bookmarkStart w:id="2" w:name="_Toc2"/>
      <w:r>
        <w:t>Article summary:</w:t>
      </w:r>
      <w:bookmarkEnd w:id="2"/>
    </w:p>
    <w:p>
      <w:pPr>
        <w:jc w:val="both"/>
      </w:pPr>
      <w:r>
        <w:rPr/>
        <w:t xml:space="preserve">1. The accountability requirements of the No Child Left Behind Act disadvantage high-poverty and racially diverse schools because they rely on mean proficiency scores and require all subgroups to meet the same goals for accountability.</w:t>
      </w:r>
    </w:p>
    <w:p>
      <w:pPr>
        <w:jc w:val="both"/>
      </w:pPr>
      <w:r>
        <w:rPr/>
        <w:t xml:space="preserve">2. Differences in the demographic characteristics of schools identified as needing improvement and schools meeting federal adequate yearly progress requirements arise from selection bias inherent in using mean proficiency scores and rules that require students in racially diverse schools to meet multiple performance targets.</w:t>
      </w:r>
    </w:p>
    <w:p>
      <w:pPr>
        <w:jc w:val="both"/>
      </w:pPr>
      <w:r>
        <w:rPr/>
        <w:t xml:space="preserve">3. The authors suggest alternatives for the design of accountability systems, including using multiple measures of student achievement, factoring in student improvement on achievement tests, and incorporating state accountability ratings of school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"Measuring Academic Proficiency Under the No Child Left Behind Act: Implications for Educational Equity" discusses the accountability requirements of the No Child Left Behind Act (NCLB) and their impact on high-poverty schools and racially diverse schools. While the article provides some valuable insights, there are several potential biases and limitations that need to be considered.</w:t>
      </w:r>
    </w:p>
    <w:p>
      <w:pPr>
        <w:jc w:val="both"/>
      </w:pPr>
      <w:r>
        <w:rPr/>
        <w:t xml:space="preserve"/>
      </w:r>
    </w:p>
    <w:p>
      <w:pPr>
        <w:jc w:val="both"/>
      </w:pPr>
      <w:r>
        <w:rPr/>
        <w:t xml:space="preserve">One potential bias in the article is its focus on the disadvantages faced by high-poverty schools and racially diverse schools. While it is important to address educational equity issues in these contexts, it is also necessary to consider the challenges faced by other types of schools. By solely focusing on these specific types of schools, the article may overlook important factors that contribute to educational disparities in other settings.</w:t>
      </w:r>
    </w:p>
    <w:p>
      <w:pPr>
        <w:jc w:val="both"/>
      </w:pPr>
      <w:r>
        <w:rPr/>
        <w:t xml:space="preserve"/>
      </w:r>
    </w:p>
    <w:p>
      <w:pPr>
        <w:jc w:val="both"/>
      </w:pPr>
      <w:r>
        <w:rPr/>
        <w:t xml:space="preserve">Additionally, the article makes unsupported claims about the effectiveness of alternative accountability systems. It suggests using multiple measures of student achievement, factoring in student improvement on tests, and incorporating state accountability ratings as alternatives to mean proficiency scores. However, there is no evidence provided to support these claims or demonstrate their effectiveness in promoting educational equity.</w:t>
      </w:r>
    </w:p>
    <w:p>
      <w:pPr>
        <w:jc w:val="both"/>
      </w:pPr>
      <w:r>
        <w:rPr/>
        <w:t xml:space="preserve"/>
      </w:r>
    </w:p>
    <w:p>
      <w:pPr>
        <w:jc w:val="both"/>
      </w:pPr>
      <w:r>
        <w:rPr/>
        <w:t xml:space="preserve">Furthermore, the article does not explore counterarguments or potential drawbacks of alternative accountability systems. It presents these alternatives as if they are unquestionably superior without considering potential unintended consequences or limitations. This one-sided reporting undermines the credibility of the article and fails to provide a balanced analysis of the topic.</w:t>
      </w:r>
    </w:p>
    <w:p>
      <w:pPr>
        <w:jc w:val="both"/>
      </w:pPr>
      <w:r>
        <w:rPr/>
        <w:t xml:space="preserve"/>
      </w:r>
    </w:p>
    <w:p>
      <w:pPr>
        <w:jc w:val="both"/>
      </w:pPr>
      <w:r>
        <w:rPr/>
        <w:t xml:space="preserve">Another limitation of the article is its failure to provide sufficient evidence for its claims. While it references student achievement data from six states, it does not provide any specific details or findings from this data. Without this information, it is difficult to evaluate the validity and reliability of the conclusions drawn by the authors.</w:t>
      </w:r>
    </w:p>
    <w:p>
      <w:pPr>
        <w:jc w:val="both"/>
      </w:pPr>
      <w:r>
        <w:rPr/>
        <w:t xml:space="preserve"/>
      </w:r>
    </w:p>
    <w:p>
      <w:pPr>
        <w:jc w:val="both"/>
      </w:pPr>
      <w:r>
        <w:rPr/>
        <w:t xml:space="preserve">Moreover, there is a lack of consideration for possible risks associated with alternative accountability systems. The article focuses primarily on addressing disparities in academic achievement but does not discuss potential negative consequences such as teaching to the test or narrowing curriculum focus.</w:t>
      </w:r>
    </w:p>
    <w:p>
      <w:pPr>
        <w:jc w:val="both"/>
      </w:pPr>
      <w:r>
        <w:rPr/>
        <w:t xml:space="preserve"/>
      </w:r>
    </w:p>
    <w:p>
      <w:pPr>
        <w:jc w:val="both"/>
      </w:pPr>
      <w:r>
        <w:rPr/>
        <w:t xml:space="preserve">In terms of missing points of consideration, the article does not address the role of socioeconomic factors in educational disparities. While it acknowledges the importance of closing achievement gaps between disadvantaged and advantaged students, it does not delve into the underlying causes of these gaps or propose strategies to address them.</w:t>
      </w:r>
    </w:p>
    <w:p>
      <w:pPr>
        <w:jc w:val="both"/>
      </w:pPr>
      <w:r>
        <w:rPr/>
        <w:t xml:space="preserve"/>
      </w:r>
    </w:p>
    <w:p>
      <w:pPr>
        <w:jc w:val="both"/>
      </w:pPr>
      <w:r>
        <w:rPr/>
        <w:t xml:space="preserve">Overall, the article exhibits potential biases, unsupported claims, missing evidence, unexplored counterarguments, and a lack of consideration for potential risks. It fails to provide a comprehensive and balanced analysis of the topic and may not be entirely reliable as a source of information on educational equity under the NCLB Act.</w:t>
      </w:r>
    </w:p>
    <w:p>
      <w:pPr>
        <w:pStyle w:val="Heading1"/>
      </w:pPr>
      <w:bookmarkStart w:id="5" w:name="_Toc5"/>
      <w:r>
        <w:t>Topics for further research:</w:t>
      </w:r>
      <w:bookmarkEnd w:id="5"/>
    </w:p>
    <w:p>
      <w:pPr>
        <w:spacing w:after="0"/>
        <w:numPr>
          <w:ilvl w:val="0"/>
          <w:numId w:val="2"/>
        </w:numPr>
      </w:pPr>
      <w:r>
        <w:rPr/>
        <w:t xml:space="preserve">Factors contributing to educational disparities in schools other than high-poverty and racially diverse schools
</w:t>
      </w:r>
    </w:p>
    <w:p>
      <w:pPr>
        <w:spacing w:after="0"/>
        <w:numPr>
          <w:ilvl w:val="0"/>
          <w:numId w:val="2"/>
        </w:numPr>
      </w:pPr>
      <w:r>
        <w:rPr/>
        <w:t xml:space="preserve">Evidence on the effectiveness of alternative accountability systems in promoting educational equity
</w:t>
      </w:r>
    </w:p>
    <w:p>
      <w:pPr>
        <w:spacing w:after="0"/>
        <w:numPr>
          <w:ilvl w:val="0"/>
          <w:numId w:val="2"/>
        </w:numPr>
      </w:pPr>
      <w:r>
        <w:rPr/>
        <w:t xml:space="preserve">Potential unintended consequences or limitations of alternative accountability systems
</w:t>
      </w:r>
    </w:p>
    <w:p>
      <w:pPr>
        <w:spacing w:after="0"/>
        <w:numPr>
          <w:ilvl w:val="0"/>
          <w:numId w:val="2"/>
        </w:numPr>
      </w:pPr>
      <w:r>
        <w:rPr/>
        <w:t xml:space="preserve">Specific findings and details from student achievement data in the six referenced states
</w:t>
      </w:r>
    </w:p>
    <w:p>
      <w:pPr>
        <w:spacing w:after="0"/>
        <w:numPr>
          <w:ilvl w:val="0"/>
          <w:numId w:val="2"/>
        </w:numPr>
      </w:pPr>
      <w:r>
        <w:rPr/>
        <w:t xml:space="preserve">Risks associated with alternative accountability systems</w:t>
      </w:r>
    </w:p>
    <w:p>
      <w:pPr>
        <w:spacing w:after="0"/>
        <w:numPr>
          <w:ilvl w:val="0"/>
          <w:numId w:val="2"/>
        </w:numPr>
      </w:pPr>
      <w:r>
        <w:rPr/>
        <w:t xml:space="preserve">such as teaching to the test or narrowing curriculum focus
</w:t>
      </w:r>
    </w:p>
    <w:p>
      <w:pPr>
        <w:numPr>
          <w:ilvl w:val="0"/>
          <w:numId w:val="2"/>
        </w:numPr>
      </w:pPr>
      <w:r>
        <w:rPr/>
        <w:t xml:space="preserve">Socioeconomic factors and their role in educational disparities and strategies to address them.</w:t>
      </w:r>
    </w:p>
    <w:p>
      <w:pPr>
        <w:pStyle w:val="Heading1"/>
      </w:pPr>
      <w:bookmarkStart w:id="6" w:name="_Toc6"/>
      <w:r>
        <w:t>Report location:</w:t>
      </w:r>
      <w:bookmarkEnd w:id="6"/>
    </w:p>
    <w:p>
      <w:hyperlink r:id="rId8" w:history="1">
        <w:r>
          <w:rPr>
            <w:color w:val="2980b9"/>
            <w:u w:val="single"/>
          </w:rPr>
          <w:t xml:space="preserve">https://www.fullpicture.app/item/3da089f17aca52372966bd03b7a11b3d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BDA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epdf/10.3102/0013189X034008003" TargetMode="External"/><Relationship Id="rId8" Type="http://schemas.openxmlformats.org/officeDocument/2006/relationships/hyperlink" Target="https://www.fullpicture.app/item/3da089f17aca52372966bd03b7a11b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2023-11-25T08:42:41+01:00</dcterms:created>
  <dcterms:modified xsi:type="dcterms:W3CDTF">2023-11-25T08:42:41+01:00</dcterms:modified>
</cp:coreProperties>
</file>

<file path=docProps/custom.xml><?xml version="1.0" encoding="utf-8"?>
<Properties xmlns="http://schemas.openxmlformats.org/officeDocument/2006/custom-properties" xmlns:vt="http://schemas.openxmlformats.org/officeDocument/2006/docPropsVTypes"/>
</file>