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Salomon v Salomon - Case Summary</w:t>
      </w:r>
      <w:br/>
      <w:hyperlink r:id="rId7" w:history="1">
        <w:r>
          <w:rPr>
            <w:color w:val="2980b9"/>
            <w:u w:val="single"/>
          </w:rPr>
          <w:t xml:space="preserve">https://www.lawteacher.net/cases/salomon-v-salomon.php</w:t>
        </w:r>
      </w:hyperlink>
    </w:p>
    <w:p>
      <w:pPr>
        <w:pStyle w:val="Heading1"/>
      </w:pPr>
      <w:bookmarkStart w:id="2" w:name="_Toc2"/>
      <w:r>
        <w:t>Article summary:</w:t>
      </w:r>
      <w:bookmarkEnd w:id="2"/>
    </w:p>
    <w:p>
      <w:pPr>
        <w:jc w:val="both"/>
      </w:pPr>
      <w:r>
        <w:rPr/>
        <w:t xml:space="preserve">1. The Salomon v Salomon case established the principle of Separate Legal Personality (SLP) in company law, which means that a company has a legal personality separate and independent from its shareholders.</w:t>
      </w:r>
    </w:p>
    <w:p>
      <w:pPr>
        <w:jc w:val="both"/>
      </w:pPr>
      <w:r>
        <w:rPr/>
        <w:t xml:space="preserve">2. The rule of SLP has exceptions, such as lifting or piercing the corporate veil, which allows courts to look through the veil to reach out to insider members in certain circumstances.</w:t>
      </w:r>
    </w:p>
    <w:p>
      <w:pPr>
        <w:jc w:val="both"/>
      </w:pPr>
      <w:r>
        <w:rPr/>
        <w:t xml:space="preserve">3. While the Salomon ruling remains predominant and continues to underpin English company law, recent cases have restricted the scope of veil piercing as only a limited equitable remedy.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summary of the landmark case of Salomon v Salomon, which established the principle of Separate Legal Personality (SLP) in company law. The author explains the facts and issues involved in the case, as well as the ruling and its implications for English company law. The article also discusses the exceptions to SLP, such as veil piercing, and their evolution through case law and statutory provisions.</w:t>
      </w:r>
    </w:p>
    <w:p>
      <w:pPr>
        <w:jc w:val="both"/>
      </w:pPr>
      <w:r>
        <w:rPr/>
        <w:t xml:space="preserve"/>
      </w:r>
    </w:p>
    <w:p>
      <w:pPr>
        <w:jc w:val="both"/>
      </w:pPr>
      <w:r>
        <w:rPr/>
        <w:t xml:space="preserve">Overall, the article appears to be well-researched and informative. However, there are some potential biases and limitations that should be noted. For example:</w:t>
      </w:r>
    </w:p>
    <w:p>
      <w:pPr>
        <w:jc w:val="both"/>
      </w:pPr>
      <w:r>
        <w:rPr/>
        <w:t xml:space="preserve"/>
      </w:r>
    </w:p>
    <w:p>
      <w:pPr>
        <w:jc w:val="both"/>
      </w:pPr>
      <w:r>
        <w:rPr/>
        <w:t xml:space="preserve">- The author seems to have a pro-Salomon bias, presenting the ruling as a positive development for corporate jurisprudence without exploring any potential drawbacks or criticisms of SLP. While it is true that SLP has been widely accepted and celebrated in legal circles, some scholars have argued that it can lead to moral hazard and social costs by shielding companies from accountability for their actions.</w:t>
      </w:r>
    </w:p>
    <w:p>
      <w:pPr>
        <w:jc w:val="both"/>
      </w:pPr>
      <w:r>
        <w:rPr/>
        <w:t xml:space="preserve">- The article focuses mainly on English law and does not provide much comparative analysis with other jurisdictions or legal systems. This may limit its scope and relevance for readers outside of England.</w:t>
      </w:r>
    </w:p>
    <w:p>
      <w:pPr>
        <w:jc w:val="both"/>
      </w:pPr>
      <w:r>
        <w:rPr/>
        <w:t xml:space="preserve">- The author does not discuss any recent developments or controversies related to SLP or veil piercing, such as the debate over whether multinational corporations should be held accountable for human rights abuses committed by their subsidiaries abroad.</w:t>
      </w:r>
    </w:p>
    <w:p>
      <w:pPr>
        <w:jc w:val="both"/>
      </w:pPr>
      <w:r>
        <w:rPr/>
        <w:t xml:space="preserve">- Some of the claims made in the article are not supported by evidence or sources. For example, when discussing the exceptions to SLP, the author states that "English courts have differentiated between the terms 'lifting' and 'piercing'," but does not provide any citation or explanation for this distinction.</w:t>
      </w:r>
    </w:p>
    <w:p>
      <w:pPr>
        <w:jc w:val="both"/>
      </w:pPr>
      <w:r>
        <w:rPr/>
        <w:t xml:space="preserve">- The article could benefit from more exploration of counterarguments or alternative perspectives on SLP and veil piercing. While it is important to present a clear summary of legal principles and precedents, critical analysis requires engaging with different viewpoints and acknowledging areas of uncertainty or disagreement.</w:t>
      </w:r>
    </w:p>
    <w:p>
      <w:pPr>
        <w:jc w:val="both"/>
      </w:pPr>
      <w:r>
        <w:rPr/>
        <w:t xml:space="preserve"/>
      </w:r>
    </w:p>
    <w:p>
      <w:pPr>
        <w:jc w:val="both"/>
      </w:pPr>
      <w:r>
        <w:rPr/>
        <w:t xml:space="preserve">In conclusion, while this article provides a useful overview of the Salomon case and its significance for company law, readers should be aware of its potential biases and limitations. To gain a more nuanced understanding of SLP and veil piercing, it may be necessary to consult additional sources and perspectives.</w:t>
      </w:r>
    </w:p>
    <w:p>
      <w:pPr>
        <w:pStyle w:val="Heading1"/>
      </w:pPr>
      <w:bookmarkStart w:id="5" w:name="_Toc5"/>
      <w:r>
        <w:t>Topics for further research:</w:t>
      </w:r>
      <w:bookmarkEnd w:id="5"/>
    </w:p>
    <w:p>
      <w:pPr>
        <w:spacing w:after="0"/>
        <w:numPr>
          <w:ilvl w:val="0"/>
          <w:numId w:val="2"/>
        </w:numPr>
      </w:pPr>
      <w:r>
        <w:rPr/>
        <w:t xml:space="preserve">Multinational corporations and human rights abuses
</w:t>
      </w:r>
    </w:p>
    <w:p>
      <w:pPr>
        <w:spacing w:after="0"/>
        <w:numPr>
          <w:ilvl w:val="0"/>
          <w:numId w:val="2"/>
        </w:numPr>
      </w:pPr>
      <w:r>
        <w:rPr/>
        <w:t xml:space="preserve">Criticisms of Separate Legal Personality
</w:t>
      </w:r>
    </w:p>
    <w:p>
      <w:pPr>
        <w:spacing w:after="0"/>
        <w:numPr>
          <w:ilvl w:val="0"/>
          <w:numId w:val="2"/>
        </w:numPr>
      </w:pPr>
      <w:r>
        <w:rPr/>
        <w:t xml:space="preserve">Comparative analysis of legal systems on SLP
</w:t>
      </w:r>
    </w:p>
    <w:p>
      <w:pPr>
        <w:spacing w:after="0"/>
        <w:numPr>
          <w:ilvl w:val="0"/>
          <w:numId w:val="2"/>
        </w:numPr>
      </w:pPr>
      <w:r>
        <w:rPr/>
        <w:t xml:space="preserve">Evolution of veil piercing through case law
</w:t>
      </w:r>
    </w:p>
    <w:p>
      <w:pPr>
        <w:spacing w:after="0"/>
        <w:numPr>
          <w:ilvl w:val="0"/>
          <w:numId w:val="2"/>
        </w:numPr>
      </w:pPr>
      <w:r>
        <w:rPr/>
        <w:t xml:space="preserve">Moral hazard and social costs of SLP
</w:t>
      </w:r>
    </w:p>
    <w:p>
      <w:pPr>
        <w:numPr>
          <w:ilvl w:val="0"/>
          <w:numId w:val="2"/>
        </w:numPr>
      </w:pPr>
      <w:r>
        <w:rPr/>
        <w:t xml:space="preserve">Alternative perspectives on SLP and veil piercing</w:t>
      </w:r>
    </w:p>
    <w:p>
      <w:pPr>
        <w:pStyle w:val="Heading1"/>
      </w:pPr>
      <w:bookmarkStart w:id="6" w:name="_Toc6"/>
      <w:r>
        <w:t>Report location:</w:t>
      </w:r>
      <w:bookmarkEnd w:id="6"/>
    </w:p>
    <w:p>
      <w:hyperlink r:id="rId8" w:history="1">
        <w:r>
          <w:rPr>
            <w:color w:val="2980b9"/>
            <w:u w:val="single"/>
          </w:rPr>
          <w:t xml:space="preserve">https://www.fullpicture.app/item/3d43120982df612ba5ff27c37138b3d6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8169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wteacher.net/cases/salomon-v-salomon.php" TargetMode="External"/><Relationship Id="rId8" Type="http://schemas.openxmlformats.org/officeDocument/2006/relationships/hyperlink" Target="https://www.fullpicture.app/item/3d43120982df612ba5ff27c37138b3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2023-04-28T02:48:04+02:00</dcterms:created>
  <dcterms:modified xsi:type="dcterms:W3CDTF">2023-04-28T02:48:04+02:00</dcterms:modified>
</cp:coreProperties>
</file>

<file path=docProps/custom.xml><?xml version="1.0" encoding="utf-8"?>
<Properties xmlns="http://schemas.openxmlformats.org/officeDocument/2006/custom-properties" xmlns:vt="http://schemas.openxmlformats.org/officeDocument/2006/docPropsVTypes"/>
</file>