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ETF use among actively managed mutual fund portfolios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https://vpn.jlu.edu.cn/https/44696469646131313237446964696461bd6feb2610cba212c258e268de7790f17702c29fe5/science/article/pii/S1386418119303593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大约三分之一的主动管理型共同基金在样本期间持有ETF，并且大规模ETF头寸与基金绩效呈负相关。</w:t>
      </w:r>
    </w:p>
    <w:p>
      <w:pPr>
        <w:jc w:val="both"/>
      </w:pPr>
      <w:r>
        <w:rPr/>
        <w:t xml:space="preserve">2. 主动管理型共同基金可以利用基准ETF来改善流动性管理，通过减少现金头寸和更高效地应对大额资金流入。</w:t>
      </w:r>
    </w:p>
    <w:p>
      <w:pPr>
        <w:jc w:val="both"/>
      </w:pPr>
      <w:r>
        <w:rPr/>
        <w:t xml:space="preserve">3. 非基准ETF的使用可以改变投资组合的绩效和分散特征，这被视为一种主动投资。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这篇文章探讨了主动管理的共同基金在投资组合中使用ETF的情况。然而，文章存在一些潜在的偏见和不足之处。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Cremers和Petajisto（2009）的研究结果，指出93%的共同基金具有高于20%的主动份额值，表明它们在管理中是积极主动的。然而，这并不意味着这些基金会有效地利用ETF来改善投资组合管理。文章没有提供关于为什么大部分投资者不将主动基金与被动管理的ETF联系起来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引用了Sherrill等人（2017）的研究结果，发现超过三分之一的主动管理共同基金在某个时期持有ETF，并且ETF持仓与基金绩效呈负相关。然而，文章没有深入探讨这种负相关关系背后的原因。是否有其他因素导致了这种负相关性？是否存在其他解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此外，文章提到了使用benchmark ETF和非benchmark ETF对投资组合绩效和风险特征产生影响的可能性。然而，在论述这些影响时，并没有提供足够的证据支持作者所提出的观点。缺乏实证数据或案例研究来支持这些主张。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文章还没有充分考虑到可能的风险和局限性。例如，使用ETF可能会增加投资组合的复杂性，并引入与ETF相关的风险，如流动性风险和追踪误差。文章没有对这些潜在风险进行深入讨论。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此外，文章没有平等地呈现双方观点。它主要关注了使用ETF来改善投资组合管理的潜在好处，而忽略了可能存在的负面影响或争议。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总之，这篇文章在探讨主动管理共同基金使用ETF的问题上存在一些偏见和不足之处。它需要更全面、客观地考虑各种因素，并提供更多实证数据来支持其观点。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主动管理共同基金与被动管理ETF的联系和差异
</w:t>
      </w:r>
    </w:p>
    <w:p>
      <w:pPr>
        <w:spacing w:after="0"/>
        <w:numPr>
          <w:ilvl w:val="0"/>
          <w:numId w:val="2"/>
        </w:numPr>
      </w:pPr>
      <w:r>
        <w:rPr/>
        <w:t xml:space="preserve">主动管理共同基金为什么没有充分利用ETF的解释
</w:t>
      </w:r>
    </w:p>
    <w:p>
      <w:pPr>
        <w:spacing w:after="0"/>
        <w:numPr>
          <w:ilvl w:val="0"/>
          <w:numId w:val="2"/>
        </w:numPr>
      </w:pPr>
      <w:r>
        <w:rPr/>
        <w:t xml:space="preserve">主动管理共同基金持有ETF与绩效负相关的原因
</w:t>
      </w:r>
    </w:p>
    <w:p>
      <w:pPr>
        <w:spacing w:after="0"/>
        <w:numPr>
          <w:ilvl w:val="0"/>
          <w:numId w:val="2"/>
        </w:numPr>
      </w:pPr>
      <w:r>
        <w:rPr/>
        <w:t xml:space="preserve">使用benchmark ETF和非benchmark ETF对投资组合绩效和风险的影响
</w:t>
      </w:r>
    </w:p>
    <w:p>
      <w:pPr>
        <w:spacing w:after="0"/>
        <w:numPr>
          <w:ilvl w:val="0"/>
          <w:numId w:val="2"/>
        </w:numPr>
      </w:pPr>
      <w:r>
        <w:rPr/>
        <w:t xml:space="preserve">ETF使用可能引入的风险和局限性
</w:t>
      </w:r>
    </w:p>
    <w:p>
      <w:pPr>
        <w:numPr>
          <w:ilvl w:val="0"/>
          <w:numId w:val="2"/>
        </w:numPr>
      </w:pPr>
      <w:r>
        <w:rPr/>
        <w:t xml:space="preserve">平等呈现双方观点的重要性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https://www.fullpicture.app/item/3a7d5b5e2df7f0904325a70fcb3b9167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5A7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44696469646131313237446964696461bd6feb2610cba212c258e268de7790f17702c29fe5/science/article/pii/S1386418119303593" TargetMode="External"/><Relationship Id="rId8" Type="http://schemas.openxmlformats.org/officeDocument/2006/relationships/hyperlink" Target="https://www.fullpicture.app/item/3a7d5b5e2df7f0904325a70fcb3b91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2024-03-25T18:50:51+01:00</dcterms:created>
  <dcterms:modified xsi:type="dcterms:W3CDTF">2024-03-25T18:50:51+01:00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