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多个大股东并存对高管机会主义减持的影响研究-中国人民大学复印报刊资料</w:t>
      </w:r>
      <w:br/>
      <w:hyperlink r:id="rId7" w:history="1">
        <w:r>
          <w:rPr>
            <w:color w:val="2980b9"/>
            <w:u w:val="single"/>
          </w:rPr>
          <w:t xml:space="preserve">http://59.252.42.34:6251/Qw/Paper/746233</w:t>
        </w:r>
      </w:hyperlink>
    </w:p>
    <w:p>
      <w:pPr>
        <w:pStyle w:val="Heading1"/>
      </w:pPr>
      <w:bookmarkStart w:id="2" w:name="_Toc2"/>
      <w:r>
        <w:t>Article summary:</w:t>
      </w:r>
      <w:bookmarkEnd w:id="2"/>
    </w:p>
    <w:p>
      <w:pPr>
        <w:jc w:val="both"/>
      </w:pPr>
      <w:r>
        <w:rPr/>
        <w:t xml:space="preserve">1. 高管机会主义减持对股东利益和市场信心的负面影响。</w:t>
      </w:r>
    </w:p>
    <w:p>
      <w:pPr>
        <w:jc w:val="both"/>
      </w:pPr>
      <w:r>
        <w:rPr/>
        <w:t xml:space="preserve">2. 多个大股东并存的公司治理结构可以通过相互监督和权力制衡来抑制控股股东的资本占用和其他违规行为，但也可能存在合谋或协调成本等问题。</w:t>
      </w:r>
    </w:p>
    <w:p>
      <w:pPr>
        <w:jc w:val="both"/>
      </w:pPr>
      <w:r>
        <w:rPr/>
        <w:t xml:space="preserve">3. 从公司所有权结构的角度分析高管机会主义减持行为，有助于更好地约束内幕交易。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该文章主要探讨了多个大股东并存对高管机会主义减持的影响，但是在分析过程中存在一些偏见和不足之处。</w:t>
      </w:r>
    </w:p>
    <w:p>
      <w:pPr>
        <w:jc w:val="both"/>
      </w:pPr>
      <w:r>
        <w:rPr/>
        <w:t xml:space="preserve"/>
      </w:r>
    </w:p>
    <w:p>
      <w:pPr>
        <w:jc w:val="both"/>
      </w:pPr>
      <w:r>
        <w:rPr/>
        <w:t xml:space="preserve">首先，文章将高管机会主义减持视为一种普遍现象，但没有提供足够的数据支持。虽然文章提到了2018年市值达到546.19亿元的高管减持行为，但没有说明这个数字在整个资本市场中占比多少。此外，文章也没有考虑到高管减持的原因和动机可能是多种多样的，并不能简单地归结为机会主义行为。</w:t>
      </w:r>
    </w:p>
    <w:p>
      <w:pPr>
        <w:jc w:val="both"/>
      </w:pPr>
      <w:r>
        <w:rPr/>
        <w:t xml:space="preserve"/>
      </w:r>
    </w:p>
    <w:p>
      <w:pPr>
        <w:jc w:val="both"/>
      </w:pPr>
      <w:r>
        <w:rPr/>
        <w:t xml:space="preserve">其次，文章认为多个大股东并存可以有效监督高管行为，但忽略了不同大股东之间可能存在利益冲突和协调成本。实际上，在多数情况下，大股东之间往往存在着权力斗争和合作难度等问题，这可能导致他们无法有效地监督公司管理层。</w:t>
      </w:r>
    </w:p>
    <w:p>
      <w:pPr>
        <w:jc w:val="both"/>
      </w:pPr>
      <w:r>
        <w:rPr/>
        <w:t xml:space="preserve"/>
      </w:r>
    </w:p>
    <w:p>
      <w:pPr>
        <w:jc w:val="both"/>
      </w:pPr>
      <w:r>
        <w:rPr/>
        <w:t xml:space="preserve">此外，文章还缺乏对其他因素的考虑。例如，公司治理结构、行业竞争环境、政策法规等都可能对高管减持产生影响。如果只从一个角度出发进行分析，则很容易得出片面或不完整的结论。</w:t>
      </w:r>
    </w:p>
    <w:p>
      <w:pPr>
        <w:jc w:val="both"/>
      </w:pPr>
      <w:r>
        <w:rPr/>
        <w:t xml:space="preserve"/>
      </w:r>
    </w:p>
    <w:p>
      <w:pPr>
        <w:jc w:val="both"/>
      </w:pPr>
      <w:r>
        <w:rPr/>
        <w:t xml:space="preserve">最后，在呈现观点时，文章可能存在一定的偏袒。例如，文章认为多个大股东并存可以有效监督高管行为，但没有提到这种结构也可能导致公司决策缺乏效率和灵活性。此外，文章还没有探讨其他学者对该问题的反驳和不同观点。</w:t>
      </w:r>
    </w:p>
    <w:p>
      <w:pPr>
        <w:jc w:val="both"/>
      </w:pPr>
      <w:r>
        <w:rPr/>
        <w:t xml:space="preserve"/>
      </w:r>
    </w:p>
    <w:p>
      <w:pPr>
        <w:jc w:val="both"/>
      </w:pPr>
      <w:r>
        <w:rPr/>
        <w:t xml:space="preserve">综上所述，该文章在分析多个大股东并存对高管机会主义减持的影响时存在一些偏见和不足之处。需要更全面、客观地考虑各种因素，并注意平衡双方观点，以得出更准确、可靠的结论。</w:t>
      </w:r>
    </w:p>
    <w:p>
      <w:pPr>
        <w:pStyle w:val="Heading1"/>
      </w:pPr>
      <w:bookmarkStart w:id="5" w:name="_Toc5"/>
      <w:r>
        <w:t>Topics for further research:</w:t>
      </w:r>
      <w:bookmarkEnd w:id="5"/>
    </w:p>
    <w:p>
      <w:pPr>
        <w:spacing w:after="0"/>
        <w:numPr>
          <w:ilvl w:val="0"/>
          <w:numId w:val="2"/>
        </w:numPr>
      </w:pPr>
      <w:r>
        <w:rPr/>
        <w:t xml:space="preserve">High executive selling behavior and its causes and motivations
</w:t>
      </w:r>
    </w:p>
    <w:p>
      <w:pPr>
        <w:spacing w:after="0"/>
        <w:numPr>
          <w:ilvl w:val="0"/>
          <w:numId w:val="2"/>
        </w:numPr>
      </w:pPr>
      <w:r>
        <w:rPr/>
        <w:t xml:space="preserve">Potential conflicts of interest and coordination costs among multiple large shareholders
</w:t>
      </w:r>
    </w:p>
    <w:p>
      <w:pPr>
        <w:spacing w:after="0"/>
        <w:numPr>
          <w:ilvl w:val="0"/>
          <w:numId w:val="2"/>
        </w:numPr>
      </w:pPr>
      <w:r>
        <w:rPr/>
        <w:t xml:space="preserve">Other factors that may affect executive selling behavior</w:t>
      </w:r>
    </w:p>
    <w:p>
      <w:pPr>
        <w:spacing w:after="0"/>
        <w:numPr>
          <w:ilvl w:val="0"/>
          <w:numId w:val="2"/>
        </w:numPr>
      </w:pPr>
      <w:r>
        <w:rPr/>
        <w:t xml:space="preserve">such as corporate governance structure</w:t>
      </w:r>
    </w:p>
    <w:p>
      <w:pPr>
        <w:spacing w:after="0"/>
        <w:numPr>
          <w:ilvl w:val="0"/>
          <w:numId w:val="2"/>
        </w:numPr>
      </w:pPr>
      <w:r>
        <w:rPr/>
        <w:t xml:space="preserve">industry competition</w:t>
      </w:r>
    </w:p>
    <w:p>
      <w:pPr>
        <w:spacing w:after="0"/>
        <w:numPr>
          <w:ilvl w:val="0"/>
          <w:numId w:val="2"/>
        </w:numPr>
      </w:pPr>
      <w:r>
        <w:rPr/>
        <w:t xml:space="preserve">and policy regulations
</w:t>
      </w:r>
    </w:p>
    <w:p>
      <w:pPr>
        <w:spacing w:after="0"/>
        <w:numPr>
          <w:ilvl w:val="0"/>
          <w:numId w:val="2"/>
        </w:numPr>
      </w:pPr>
      <w:r>
        <w:rPr/>
        <w:t xml:space="preserve">Potential drawbacks of multiple large shareholder structures</w:t>
      </w:r>
    </w:p>
    <w:p>
      <w:pPr>
        <w:spacing w:after="0"/>
        <w:numPr>
          <w:ilvl w:val="0"/>
          <w:numId w:val="2"/>
        </w:numPr>
      </w:pPr>
      <w:r>
        <w:rPr/>
        <w:t xml:space="preserve">such as decision-making inefficiency and inflexibility
</w:t>
      </w:r>
    </w:p>
    <w:p>
      <w:pPr>
        <w:spacing w:after="0"/>
        <w:numPr>
          <w:ilvl w:val="0"/>
          <w:numId w:val="2"/>
        </w:numPr>
      </w:pPr>
      <w:r>
        <w:rPr/>
        <w:t xml:space="preserve">Alternative perspectives and criticisms from other scholars on the issue
</w:t>
      </w:r>
    </w:p>
    <w:p>
      <w:pPr>
        <w:numPr>
          <w:ilvl w:val="0"/>
          <w:numId w:val="2"/>
        </w:numPr>
      </w:pPr>
      <w:r>
        <w:rPr/>
        <w:t xml:space="preserve">The need for a more comprehensive and balanced analysis of the topic.</w:t>
      </w:r>
    </w:p>
    <w:p>
      <w:pPr>
        <w:pStyle w:val="Heading1"/>
      </w:pPr>
      <w:bookmarkStart w:id="6" w:name="_Toc6"/>
      <w:r>
        <w:t>Report location:</w:t>
      </w:r>
      <w:bookmarkEnd w:id="6"/>
    </w:p>
    <w:p>
      <w:hyperlink r:id="rId8" w:history="1">
        <w:r>
          <w:rPr>
            <w:color w:val="2980b9"/>
            <w:u w:val="single"/>
          </w:rPr>
          <w:t xml:space="preserve">https://www.fullpicture.app/item/39fb5d6cdfab71d3eba88375e3676545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7CB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59.252.42.34:6251/Qw/Paper/746233" TargetMode="External"/><Relationship Id="rId8" Type="http://schemas.openxmlformats.org/officeDocument/2006/relationships/hyperlink" Target="https://www.fullpicture.app/item/39fb5d6cdfab71d3eba88375e36765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2024-02-18T22:46:21+01:00</dcterms:created>
  <dcterms:modified xsi:type="dcterms:W3CDTF">2024-02-18T22:46:21+01:00</dcterms:modified>
</cp:coreProperties>
</file>

<file path=docProps/custom.xml><?xml version="1.0" encoding="utf-8"?>
<Properties xmlns="http://schemas.openxmlformats.org/officeDocument/2006/custom-properties" xmlns:vt="http://schemas.openxmlformats.org/officeDocument/2006/docPropsVTypes"/>
</file>