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JEAN S'INTERROGE : CTO OU CONTRAT DE CAPITALISATION</w:t>
      </w:r>
      <w:br/>
      <w:hyperlink r:id="rId7" w:history="1">
        <w:r>
          <w:rPr>
            <w:color w:val="2980b9"/>
            <w:u w:val="single"/>
          </w:rPr>
          <w:t xml:space="preserve">https://expertises.wealthmanagement.natixis.com/actualites/jean-sinterroge-cto-ou-contrat-de-capitalisation-8724-8f2fc.html</w:t>
        </w:r>
      </w:hyperlink>
    </w:p>
    <w:p>
      <w:pPr>
        <w:pStyle w:val="Heading1"/>
      </w:pPr>
      <w:bookmarkStart w:id="2" w:name="_Toc2"/>
      <w:r>
        <w:t>Article summary:</w:t>
      </w:r>
      <w:bookmarkEnd w:id="2"/>
    </w:p>
    <w:p>
      <w:pPr>
        <w:jc w:val="both"/>
      </w:pPr>
      <w:r>
        <w:rPr/>
        <w:t xml:space="preserve">1. Le traitement fiscal du contrat de capitalisation peut être plus avantageux que celui du compte-titres en matière de taxation des rachats/retraits.</w:t>
      </w:r>
    </w:p>
    <w:p>
      <w:pPr>
        <w:jc w:val="both"/>
      </w:pPr>
      <w:r>
        <w:rPr/>
        <w:t xml:space="preserve">2. Il est possible d'opter pour une imposition au barème progressif de l'IR, mais cette option est annuelle, globale et irrévocable pour l'ensemble des revenus et plus-values entrant dans le champ d'application du PFU.</w:t>
      </w:r>
    </w:p>
    <w:p>
      <w:pPr>
        <w:jc w:val="both"/>
      </w:pPr>
      <w:r>
        <w:rPr/>
        <w:t xml:space="preserve">3. Pour une solution plus opportune, il est conseillé d'ouvrir un contrat d'assurance-vie en désignant ses enfants bénéficiaires et de combiner cette opération avec la souscription de bons de capitalisation pour cumuler un régime avantageux au décès et lors du rachat.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comparaison entre les avantages fiscaux du contrat de capitalisation et du compte-titres en matière de taxation des rachats/retraits. Il explique que le traitement fiscal du bon de capitalisation peut être plus intéressant que celui du compte-titres, notamment depuis la modification de la fiscalité sur les rachats au 1er janvier 2018. L'article mentionne également la possibilité d'opter pour une imposition au barème progressif de l'IR, ainsi que les implications en matière d'IFI et de transmission à titre gratuit.</w:t>
      </w:r>
    </w:p>
    <w:p>
      <w:pPr>
        <w:jc w:val="both"/>
      </w:pPr>
      <w:r>
        <w:rPr/>
        <w:t xml:space="preserve"/>
      </w:r>
    </w:p>
    <w:p>
      <w:pPr>
        <w:jc w:val="both"/>
      </w:pPr>
      <w:r>
        <w:rPr/>
        <w:t xml:space="preserve">Cependant, l'article ne fournit pas suffisamment d'informations sur les risques potentiels associés aux contrats de capitalisation ou aux comptes-titres. Il ne mentionne pas non plus les différences entre ces deux types de produits en termes de rendement ou de liquidité. De plus, l'article semble promouvoir l'utilisation combinée d'un contrat d'assurance-vie et de bons de capitalisation sans fournir une analyse critique approfondie des avantages et des inconvénients potentiels.</w:t>
      </w:r>
    </w:p>
    <w:p>
      <w:pPr>
        <w:jc w:val="both"/>
      </w:pPr>
      <w:r>
        <w:rPr/>
        <w:t xml:space="preserve"/>
      </w:r>
    </w:p>
    <w:p>
      <w:pPr>
        <w:jc w:val="both"/>
      </w:pPr>
      <w:r>
        <w:rPr/>
        <w:t xml:space="preserve">Enfin, il convient également de noter que l'article ne présente qu'un point de vue unilatéral sur la question, sans explorer les arguments opposés ou offrir une analyse comparative complète des avantages et des inconvénients des différents produits financiers disponibles.</w:t>
      </w:r>
    </w:p>
    <w:p>
      <w:pPr>
        <w:pStyle w:val="Heading1"/>
      </w:pPr>
      <w:bookmarkStart w:id="5" w:name="_Toc5"/>
      <w:r>
        <w:t>Topics for further research:</w:t>
      </w:r>
      <w:bookmarkEnd w:id="5"/>
    </w:p>
    <w:p>
      <w:pPr>
        <w:spacing w:after="0"/>
        <w:numPr>
          <w:ilvl w:val="0"/>
          <w:numId w:val="2"/>
        </w:numPr>
      </w:pPr>
      <w:r>
        <w:rPr/>
        <w:t xml:space="preserve">Quels sont les risques associés aux contrats de capitalisation et aux comptes-titres ?
</w:t>
      </w:r>
    </w:p>
    <w:p>
      <w:pPr>
        <w:spacing w:after="0"/>
        <w:numPr>
          <w:ilvl w:val="0"/>
          <w:numId w:val="2"/>
        </w:numPr>
      </w:pPr>
      <w:r>
        <w:rPr/>
        <w:t xml:space="preserve">Quelles sont les différences entre les contrats de capitalisation et les comptes-titres en termes de rendement et de liquidité ?
</w:t>
      </w:r>
    </w:p>
    <w:p>
      <w:pPr>
        <w:spacing w:after="0"/>
        <w:numPr>
          <w:ilvl w:val="0"/>
          <w:numId w:val="2"/>
        </w:numPr>
      </w:pPr>
      <w:r>
        <w:rPr/>
        <w:t xml:space="preserve">Quels sont les avantages et les inconvénients potentiels de l'utilisation combinée d'un contrat d'assurance-vie et de bons de capitalisation ?
</w:t>
      </w:r>
    </w:p>
    <w:p>
      <w:pPr>
        <w:spacing w:after="0"/>
        <w:numPr>
          <w:ilvl w:val="0"/>
          <w:numId w:val="2"/>
        </w:numPr>
      </w:pPr>
      <w:r>
        <w:rPr/>
        <w:t xml:space="preserve">Quels sont les arguments opposés à l'utilisation de contrats de capitalisation et de comptes-titres ?
</w:t>
      </w:r>
    </w:p>
    <w:p>
      <w:pPr>
        <w:spacing w:after="0"/>
        <w:numPr>
          <w:ilvl w:val="0"/>
          <w:numId w:val="2"/>
        </w:numPr>
      </w:pPr>
      <w:r>
        <w:rPr/>
        <w:t xml:space="preserve">Comment fonctionne l'imposition au barème progressif de l'IR pour les rachats de contrats de capitalisation et de comptes-titres ?
</w:t>
      </w:r>
    </w:p>
    <w:p>
      <w:pPr>
        <w:numPr>
          <w:ilvl w:val="0"/>
          <w:numId w:val="2"/>
        </w:numPr>
      </w:pPr>
      <w:r>
        <w:rPr/>
        <w:t xml:space="preserve">Quelles sont les implications en matière d'IFI et de transmission à titre gratuit pour les contrats de capitalisation et les comptes-titres ?</w:t>
      </w:r>
    </w:p>
    <w:p>
      <w:pPr>
        <w:pStyle w:val="Heading1"/>
      </w:pPr>
      <w:bookmarkStart w:id="6" w:name="_Toc6"/>
      <w:r>
        <w:t>Report location:</w:t>
      </w:r>
      <w:bookmarkEnd w:id="6"/>
    </w:p>
    <w:p>
      <w:hyperlink r:id="rId8" w:history="1">
        <w:r>
          <w:rPr>
            <w:color w:val="2980b9"/>
            <w:u w:val="single"/>
          </w:rPr>
          <w:t xml:space="preserve">https://www.fullpicture.app/item/39f65047b1cf5cdaaa48de91d40a9113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988C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pertises.wealthmanagement.natixis.com/actualites/jean-sinterroge-cto-ou-contrat-de-capitalisation-8724-8f2fc.html" TargetMode="External"/><Relationship Id="rId8" Type="http://schemas.openxmlformats.org/officeDocument/2006/relationships/hyperlink" Target="https://www.fullpicture.app/item/39f65047b1cf5cdaaa48de91d40a91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2024-01-05T00:37:05+01:00</dcterms:created>
  <dcterms:modified xsi:type="dcterms:W3CDTF">2024-01-05T00:37:05+01:00</dcterms:modified>
</cp:coreProperties>
</file>

<file path=docProps/custom.xml><?xml version="1.0" encoding="utf-8"?>
<Properties xmlns="http://schemas.openxmlformats.org/officeDocument/2006/custom-properties" xmlns:vt="http://schemas.openxmlformats.org/officeDocument/2006/docPropsVTypes"/>
</file>