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Multimodal (Inter)action Analysis for the study of lectures: active and passive uses of metadiscourse</w:t>
      </w:r>
      <w:br/>
      <w:hyperlink r:id="rId7" w:history="1">
        <w:r>
          <w:rPr>
            <w:color w:val="2980b9"/>
            <w:u w:val="single"/>
          </w:rPr>
          <w:t xml:space="preserve">https://www.degruyter.com/document/doi/10.1515/mc-2023-0007/html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本文采用多模态交互分析方法研究大学讲座中元话语的使用，发现元话语在讲座中起到了引导听众理解的重要作用。</w:t>
      </w:r>
    </w:p>
    <w:p>
      <w:pPr>
        <w:jc w:val="both"/>
      </w:pPr>
      <w:r>
        <w:rPr/>
        <w:t xml:space="preserve">2. 通过对六个人文领域的面对面讲座进行分析，发现元话语在高层次行动结构中扮演着积极和消极两种角色，前者明确引导听众，后者则作为填充物存在于背景中。</w:t>
      </w:r>
    </w:p>
    <w:p>
      <w:pPr>
        <w:jc w:val="both"/>
      </w:pPr>
      <w:r>
        <w:rPr/>
        <w:t xml:space="preserve">3. 研究结果有助于反思教学实践，并提高教师培训中的多模态素养意识。该研究得到了西班牙科学、创新和大学部（Ministerio de Ciencia, Innovación y Universidades）和Valenciana自治区创新、大学、科学和数字社会部（Conselleria d’Innovació, Universitats, Ciència i Societat Digital）的资助。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作为一篇学术论文，本文提供了对大学讲座中元话语使用的多模态（交互）分析研究。然而，在阅读文章时，我注意到以下几个问题：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似乎存在一些偏见和片面报道。作者声称之前的多模态探索中存在关于讲师对元话语关注度的差异，但并没有提供任何证据来支持这一说法。此外，作者还声称本研究发现了元话语在演讲中被动使用的角色，但并没有提供足够的数据来支持这一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缺乏对其他可能影响演讲理解的因素的考虑。例如，演讲者的口音、语速、表情和肢体语言等都可能会影响听众对演讲内容的理解和接受程度。因此，在分析元话语在演讲中的作用时，应该将这些因素纳入考虑范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第三，文章未能提供足够的证据来支持其主张。例如，在分析高级行动时使用前景-背景连续性时，作者声称发现了元话语在演讲中被动使用的角色。然而，并没有提供足够数量或代表性样本来支持这一结论。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缺乏对潜在风险和平等呈现双方的意识。例如，在描述研究资金来源时，作者只提到了两个由政府机构资助的项目，并未说明是否存在任何利益冲突或其他潜在风险。此外，在描述结果时，并未探索任何反驳或不同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总之，尽管本文提供了有关大学讲座中元话语使用多模态（交互）分析研究方面有价值信息，但它也存在上述问题和局限性。因此，在评估其质量和可靠性时需要谨慎处理，并考虑其他相关因素和证据。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Bias and one-sided reporting in the study
</w:t>
      </w:r>
    </w:p>
    <w:p>
      <w:pPr>
        <w:spacing w:after="0"/>
        <w:numPr>
          <w:ilvl w:val="0"/>
          <w:numId w:val="2"/>
        </w:numPr>
      </w:pPr>
      <w:r>
        <w:rPr/>
        <w:t xml:space="preserve">Other factors that may affect speech understanding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equal representation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the study
</w:t>
      </w:r>
    </w:p>
    <w:p>
      <w:pPr>
        <w:numPr>
          <w:ilvl w:val="0"/>
          <w:numId w:val="2"/>
        </w:numPr>
      </w:pPr>
      <w:r>
        <w:rPr/>
        <w:t xml:space="preserve">Additional relevant factors and evidence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https://www.fullpicture.app/item/382302b0f115b8c172cbf878a5b9b2f0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AFE5E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gruyter.com/document/doi/10.1515/mc-2023-0007/html" TargetMode="External"/><Relationship Id="rId8" Type="http://schemas.openxmlformats.org/officeDocument/2006/relationships/hyperlink" Target="https://www.fullpicture.app/item/382302b0f115b8c172cbf878a5b9b2f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2023-12-16T22:21:21+01:00</dcterms:created>
  <dcterms:modified xsi:type="dcterms:W3CDTF">2023-12-16T22:21:21+01:00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