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Dynamic reorganization of chromatin accessibility signatures during dedifferentiation of secretory precursors into Lgr5+ intestinal stem cells - PMC</w:t>
      </w:r>
      <w:br/>
      <w:hyperlink r:id="rId7" w:history="1">
        <w:r>
          <w:rPr>
            <w:color w:val="2980b9"/>
            <w:u w:val="single"/>
          </w:rPr>
          <w:t xml:space="preserve">https://www.ncbi.nlm.nih.gov/pmc/articles/PMC5505276/</w:t>
        </w:r>
      </w:hyperlink>
    </w:p>
    <w:p>
      <w:pPr>
        <w:pStyle w:val="Heading1"/>
      </w:pPr>
      <w:bookmarkStart w:id="2" w:name="_Toc2"/>
      <w:r>
        <w:t>Article summary:</w:t>
      </w:r>
      <w:bookmarkEnd w:id="2"/>
    </w:p>
    <w:p>
      <w:pPr>
        <w:jc w:val="both"/>
      </w:pPr>
      <w:r>
        <w:rPr/>
        <w:t xml:space="preserve">1. The study investigates the dynamic reorganization of chromatin accessibility signatures during the dedifferentiation of secretory precursors into Lgr5+ intestinal stem cells.</w:t>
      </w:r>
    </w:p>
    <w:p>
      <w:pPr>
        <w:jc w:val="both"/>
      </w:pPr>
      <w:r>
        <w:rPr/>
        <w:t xml:space="preserve">2. The researchers found that GFP+ cells from Bmi1GFP mice are pre-terminal enteroendocrine cells and identified CD69+CD274+ cells as related goblet cell precursors.</w:t>
      </w:r>
    </w:p>
    <w:p>
      <w:pPr>
        <w:jc w:val="both"/>
      </w:pPr>
      <w:r>
        <w:rPr/>
        <w:t xml:space="preserve">3. The chromatin status underlies intestinal cell diversity and dedifferentiation to restore ISC function and intestinal homeostasis.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"Dynamic reorganization of chromatin accessibility signatures during dedifferentiation of secretory precursors into Lgr5+ intestinal stem cells" discusses the process of dedifferentiation of secretory precursors into Lgr5+ intestinal stem cells (ISCs) and the role of chromatin accessibility in this process. While the article provides valuable insights into the plasticity of intestinal crypt cells and their ability to regenerate, there are several potential biases and limitations that need to be considered.</w:t>
      </w:r>
    </w:p>
    <w:p>
      <w:pPr>
        <w:jc w:val="both"/>
      </w:pPr>
      <w:r>
        <w:rPr/>
        <w:t xml:space="preserve"/>
      </w:r>
    </w:p>
    <w:p>
      <w:pPr>
        <w:jc w:val="both"/>
      </w:pPr>
      <w:r>
        <w:rPr/>
        <w:t xml:space="preserve">One potential bias in the article is the focus on positive findings and the lack of discussion on negative or contradictory results. The authors primarily highlight the similarities between different cell populations in terms of chromatin states and gene expression profiles, suggesting a high degree of plasticity within intestinal crypts. However, they do not thoroughly discuss any differences or discrepancies that may exist between these populations. This one-sided reporting may lead to an incomplete understanding of the topic.</w:t>
      </w:r>
    </w:p>
    <w:p>
      <w:pPr>
        <w:jc w:val="both"/>
      </w:pPr>
      <w:r>
        <w:rPr/>
        <w:t xml:space="preserve"/>
      </w:r>
    </w:p>
    <w:p>
      <w:pPr>
        <w:jc w:val="both"/>
      </w:pPr>
      <w:r>
        <w:rPr/>
        <w:t xml:space="preserve">Another potential bias is the limited scope of evidence provided to support some claims made in the article. For example, when discussing Bmi1Gfp cells as mature enteroendocrine (EE) cells, the authors rely solely on RNA-seq profiles for comparison with other cell populations. While this provides some evidence for their claim, additional experimental validation would strengthen their argument.</w:t>
      </w:r>
    </w:p>
    <w:p>
      <w:pPr>
        <w:jc w:val="both"/>
      </w:pPr>
      <w:r>
        <w:rPr/>
        <w:t xml:space="preserve"/>
      </w:r>
    </w:p>
    <w:p>
      <w:pPr>
        <w:jc w:val="both"/>
      </w:pPr>
      <w:r>
        <w:rPr/>
        <w:t xml:space="preserve">Additionally, there are missing points of consideration in the article. The authors discuss how disruption of Lgr5+ ISCs triggers epithelial renewal from Bmi1+ cells and other progenitor populations but do not address potential risks or drawbacks associated with this process. It would be important to consider whether there are any negative consequences or limitations to relying on dedifferentiated cells for tissue regeneration.</w:t>
      </w:r>
    </w:p>
    <w:p>
      <w:pPr>
        <w:jc w:val="both"/>
      </w:pPr>
      <w:r>
        <w:rPr/>
        <w:t xml:space="preserve"/>
      </w:r>
    </w:p>
    <w:p>
      <w:pPr>
        <w:jc w:val="both"/>
      </w:pPr>
      <w:r>
        <w:rPr/>
        <w:t xml:space="preserve">Furthermore, unexplored counterarguments could weaken some claims made in the article. For instance, while the authors suggest that Bmi1Gfp cells are not a dedicated pool of quiescent ISCs, it is possible that these cells still contribute to the regeneration process in some capacity. Exploring alternative explanations or addressing potential counterarguments would provide a more comprehensive analysis.</w:t>
      </w:r>
    </w:p>
    <w:p>
      <w:pPr>
        <w:jc w:val="both"/>
      </w:pPr>
      <w:r>
        <w:rPr/>
        <w:t xml:space="preserve"/>
      </w:r>
    </w:p>
    <w:p>
      <w:pPr>
        <w:jc w:val="both"/>
      </w:pPr>
      <w:r>
        <w:rPr/>
        <w:t xml:space="preserve">Overall, while the article provides valuable insights into the dedifferentiation of secretory precursors into Lgr5+ ISCs and the role of chromatin accessibility, there are potential biases and limitations that need to be considered. The focus on positive findings, limited evidence for some claims, missing points of consideration, unexplored counterarguments, and lack of discussion on potential risks or drawbacks may impact the overall interpretation of the research.</w:t>
      </w:r>
    </w:p>
    <w:p>
      <w:pPr>
        <w:pStyle w:val="Heading1"/>
      </w:pPr>
      <w:bookmarkStart w:id="5" w:name="_Toc5"/>
      <w:r>
        <w:t>Topics for further research:</w:t>
      </w:r>
      <w:bookmarkEnd w:id="5"/>
    </w:p>
    <w:p>
      <w:pPr>
        <w:spacing w:after="0"/>
        <w:numPr>
          <w:ilvl w:val="0"/>
          <w:numId w:val="2"/>
        </w:numPr>
      </w:pPr>
      <w:r>
        <w:rPr/>
        <w:t xml:space="preserve">Potential risks and drawbacks of relying on dedifferentiated cells for tissue regeneration
</w:t>
      </w:r>
    </w:p>
    <w:p>
      <w:pPr>
        <w:spacing w:after="0"/>
        <w:numPr>
          <w:ilvl w:val="0"/>
          <w:numId w:val="2"/>
        </w:numPr>
      </w:pPr>
      <w:r>
        <w:rPr/>
        <w:t xml:space="preserve">Alternative explanations for the role of Bmi1Gfp cells in intestinal regeneration
</w:t>
      </w:r>
    </w:p>
    <w:p>
      <w:pPr>
        <w:spacing w:after="0"/>
        <w:numPr>
          <w:ilvl w:val="0"/>
          <w:numId w:val="2"/>
        </w:numPr>
      </w:pPr>
      <w:r>
        <w:rPr/>
        <w:t xml:space="preserve">Contradictory results or differences between different cell populations in intestinal crypts
</w:t>
      </w:r>
    </w:p>
    <w:p>
      <w:pPr>
        <w:spacing w:after="0"/>
        <w:numPr>
          <w:ilvl w:val="0"/>
          <w:numId w:val="2"/>
        </w:numPr>
      </w:pPr>
      <w:r>
        <w:rPr/>
        <w:t xml:space="preserve">Limitations of using RNA-seq profiles as the sole evidence for characterizing cell populations
</w:t>
      </w:r>
    </w:p>
    <w:p>
      <w:pPr>
        <w:spacing w:after="0"/>
        <w:numPr>
          <w:ilvl w:val="0"/>
          <w:numId w:val="2"/>
        </w:numPr>
      </w:pPr>
      <w:r>
        <w:rPr/>
        <w:t xml:space="preserve">Negative consequences of disrupting Lgr5+ ISCs for epithelial renewal
</w:t>
      </w:r>
    </w:p>
    <w:p>
      <w:pPr>
        <w:numPr>
          <w:ilvl w:val="0"/>
          <w:numId w:val="2"/>
        </w:numPr>
      </w:pPr>
      <w:r>
        <w:rPr/>
        <w:t xml:space="preserve">Plasticity and regeneration potential of other progenitor populations in the intestine</w:t>
      </w:r>
    </w:p>
    <w:p>
      <w:pPr>
        <w:pStyle w:val="Heading1"/>
      </w:pPr>
      <w:bookmarkStart w:id="6" w:name="_Toc6"/>
      <w:r>
        <w:t>Report location:</w:t>
      </w:r>
      <w:bookmarkEnd w:id="6"/>
    </w:p>
    <w:p>
      <w:hyperlink r:id="rId8" w:history="1">
        <w:r>
          <w:rPr>
            <w:color w:val="2980b9"/>
            <w:u w:val="single"/>
          </w:rPr>
          <w:t xml:space="preserve">https://www.fullpicture.app/item/37a3fecccded0367d204038ddb31086c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21A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505276/" TargetMode="External"/><Relationship Id="rId8" Type="http://schemas.openxmlformats.org/officeDocument/2006/relationships/hyperlink" Target="https://www.fullpicture.app/item/37a3fecccded0367d204038ddb3108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2023-09-04T10:24:20+02:00</dcterms:created>
  <dcterms:modified xsi:type="dcterms:W3CDTF">2023-09-04T10:24:20+02:00</dcterms:modified>
</cp:coreProperties>
</file>

<file path=docProps/custom.xml><?xml version="1.0" encoding="utf-8"?>
<Properties xmlns="http://schemas.openxmlformats.org/officeDocument/2006/custom-properties" xmlns:vt="http://schemas.openxmlformats.org/officeDocument/2006/docPropsVTypes"/>
</file>