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连续肾脏替代治疗中两种稀柠檬酸盐溶液（15 与 18 mmol/l）的比较：基础过量和肾脏替代溶液研究 - PubMed</w:t>
      </w:r>
      <w:br/>
      <w:hyperlink r:id="rId7" w:history="1">
        <w:r>
          <w:rPr>
            <w:color w:val="2980b9"/>
            <w:u w:val="single"/>
          </w:rPr>
          <w:t xml:space="preserve">https://pubmed.ncbi.nlm.nih.gov/27352175/</w:t>
        </w:r>
      </w:hyperlink>
    </w:p>
    <w:p>
      <w:pPr>
        <w:pStyle w:val="Heading1"/>
      </w:pPr>
      <w:bookmarkStart w:id="2" w:name="_Toc2"/>
      <w:r>
        <w:t>Article summary:</w:t>
      </w:r>
      <w:bookmarkEnd w:id="2"/>
    </w:p>
    <w:p>
      <w:pPr>
        <w:jc w:val="both"/>
      </w:pPr>
      <w:r>
        <w:rPr/>
        <w:t xml:space="preserve">1. 本研究比较了两种稀柠檬酸盐溶液（15 mmol/l和18 mmol/l）在连续肾脏替代治疗中的效果。</w:t>
      </w:r>
    </w:p>
    <w:p>
      <w:pPr>
        <w:jc w:val="both"/>
      </w:pPr>
      <w:r>
        <w:rPr/>
        <w:t xml:space="preserve">2. 研究结果表明，两种溶液在血液滤过过程中对离子钙浓度的影响相似。</w:t>
      </w:r>
    </w:p>
    <w:p>
      <w:pPr>
        <w:jc w:val="both"/>
      </w:pPr>
      <w:r>
        <w:rPr/>
        <w:t xml:space="preserve">3. 这项研究为选择合适的柠檬酸盐溶液提供了参考，以优化连续肾脏替代治疗的效果。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这是因为提供的内容只包括文章标题和一些相关的评论和类似文章，而没有提供实际的文章正文。要进行批判性分析，我们需要访问实际的文章，并仔细阅读其中的内容、方法和结果。</w:t>
      </w:r>
    </w:p>
    <w:p>
      <w:pPr>
        <w:jc w:val="both"/>
      </w:pPr>
      <w:r>
        <w:rPr/>
        <w:t xml:space="preserve"/>
      </w:r>
    </w:p>
    <w:p>
      <w:pPr>
        <w:jc w:val="both"/>
      </w:pPr>
      <w:r>
        <w:rPr/>
        <w:t xml:space="preserve">然而，从提供的信息中可以看出，这些评论和类似文章可能与连续肾脏替代治疗中使用稀柠檬酸盐溶液（15 mmol/l与18 mmol/l）进行比较有关。这种比较可能涉及到稀柠檬酸盐溶液浓度对治疗效果、安全性和成本效益等方面的影响。</w:t>
      </w:r>
    </w:p>
    <w:p>
      <w:pPr>
        <w:jc w:val="both"/>
      </w:pPr>
      <w:r>
        <w:rPr/>
        <w:t xml:space="preserve"/>
      </w:r>
    </w:p>
    <w:p>
      <w:pPr>
        <w:jc w:val="both"/>
      </w:pPr>
      <w:r>
        <w:rPr/>
        <w:t xml:space="preserve">在进行批判性分析时，我们应该注意以下几个方面：</w:t>
      </w:r>
    </w:p>
    <w:p>
      <w:pPr>
        <w:jc w:val="both"/>
      </w:pPr>
      <w:r>
        <w:rPr/>
        <w:t xml:space="preserve"/>
      </w:r>
    </w:p>
    <w:p>
      <w:pPr>
        <w:jc w:val="both"/>
      </w:pPr>
      <w:r>
        <w:rPr/>
        <w:t xml:space="preserve">1. 潜在偏见及其来源：需要考虑作者是否有任何潜在利益冲突或资金来源，可能会影响他们对研究结果的解释和呈现。</w:t>
      </w:r>
    </w:p>
    <w:p>
      <w:pPr>
        <w:jc w:val="both"/>
      </w:pPr>
      <w:r>
        <w:rPr/>
        <w:t xml:space="preserve"/>
      </w:r>
    </w:p>
    <w:p>
      <w:pPr>
        <w:jc w:val="both"/>
      </w:pPr>
      <w:r>
        <w:rPr/>
        <w:t xml:space="preserve">2. 片面报道：需要检查作者是否充分报告了所有数据和结果，或者是否选择性地报道了符合他们观点的数据。</w:t>
      </w:r>
    </w:p>
    <w:p>
      <w:pPr>
        <w:jc w:val="both"/>
      </w:pPr>
      <w:r>
        <w:rPr/>
        <w:t xml:space="preserve"/>
      </w:r>
    </w:p>
    <w:p>
      <w:pPr>
        <w:jc w:val="both"/>
      </w:pPr>
      <w:r>
        <w:rPr/>
        <w:t xml:space="preserve">3. 无根据的主张：需要评估作者是否基于可靠的证据来支持他们所提出的主张，或者是否存在不足或缺乏证据的情况。</w:t>
      </w:r>
    </w:p>
    <w:p>
      <w:pPr>
        <w:jc w:val="both"/>
      </w:pPr>
      <w:r>
        <w:rPr/>
        <w:t xml:space="preserve"/>
      </w:r>
    </w:p>
    <w:p>
      <w:pPr>
        <w:jc w:val="both"/>
      </w:pPr>
      <w:r>
        <w:rPr/>
        <w:t xml:space="preserve">4. 缺失的考虑点：需要确定作者是否考虑了所有相关因素和变量，并对其进行适当的控制。</w:t>
      </w:r>
    </w:p>
    <w:p>
      <w:pPr>
        <w:jc w:val="both"/>
      </w:pPr>
      <w:r>
        <w:rPr/>
        <w:t xml:space="preserve"/>
      </w:r>
    </w:p>
    <w:p>
      <w:pPr>
        <w:jc w:val="both"/>
      </w:pPr>
      <w:r>
        <w:rPr/>
        <w:t xml:space="preserve">5. 所提出主张的缺失证据：需要评估作者是否提供了足够的证据来支持他们所提出的主张，或者是否存在不足或缺乏证据的情况。</w:t>
      </w:r>
    </w:p>
    <w:p>
      <w:pPr>
        <w:jc w:val="both"/>
      </w:pPr>
      <w:r>
        <w:rPr/>
        <w:t xml:space="preserve"/>
      </w:r>
    </w:p>
    <w:p>
      <w:pPr>
        <w:jc w:val="both"/>
      </w:pPr>
      <w:r>
        <w:rPr/>
        <w:t xml:space="preserve">6. 未探索的反驳：需要确定作者是否考虑了可能与他们观点相矛盾的其他解释或观点，并对其进行适当讨论和分析。</w:t>
      </w:r>
    </w:p>
    <w:p>
      <w:pPr>
        <w:jc w:val="both"/>
      </w:pPr>
      <w:r>
        <w:rPr/>
        <w:t xml:space="preserve"/>
      </w:r>
    </w:p>
    <w:p>
      <w:pPr>
        <w:jc w:val="both"/>
      </w:pPr>
      <w:r>
        <w:rPr/>
        <w:t xml:space="preserve">7. 宣传内容和偏袒：需要注意文章中是否存在宣传性语言或明显偏袒某种观点或干预措施。</w:t>
      </w:r>
    </w:p>
    <w:p>
      <w:pPr>
        <w:jc w:val="both"/>
      </w:pPr>
      <w:r>
        <w:rPr/>
        <w:t xml:space="preserve"/>
      </w:r>
    </w:p>
    <w:p>
      <w:pPr>
        <w:jc w:val="both"/>
      </w:pPr>
      <w:r>
        <w:rPr/>
        <w:t xml:space="preserve">8. 是否注意到可能的风险：需要评估作者是否充分考虑了使用稀柠檬酸盐溶液在连续肾脏替代治疗中可能存在的潜在风险，并对其进行适当讨论和分析。</w:t>
      </w:r>
    </w:p>
    <w:p>
      <w:pPr>
        <w:jc w:val="both"/>
      </w:pPr>
      <w:r>
        <w:rPr/>
        <w:t xml:space="preserve"/>
      </w:r>
    </w:p>
    <w:p>
      <w:pPr>
        <w:jc w:val="both"/>
      </w:pPr>
      <w:r>
        <w:rPr/>
        <w:t xml:space="preserve">9. 平等地呈现双方：需要确定作者是否平等地呈现了两种稀柠檬酸盐溶液（15 mmol/l与18 mmol/l）之间的优势和劣势，以及可能存在的其他选择。</w:t>
      </w:r>
    </w:p>
    <w:p>
      <w:pPr>
        <w:jc w:val="both"/>
      </w:pPr>
      <w:r>
        <w:rPr/>
        <w:t xml:space="preserve"/>
      </w:r>
    </w:p>
    <w:p>
      <w:pPr>
        <w:jc w:val="both"/>
      </w:pPr>
      <w:r>
        <w:rPr/>
        <w:t xml:space="preserve">总之，要对这篇文章进行详细的批判性分析，我们需要访问实际的文章，并仔细阅读其中的内容。提供的信息只是一个标题和一些相关评论和类似文章，并不足以进行全面的分析。</w:t>
      </w:r>
    </w:p>
    <w:p>
      <w:pPr>
        <w:pStyle w:val="Heading1"/>
      </w:pPr>
      <w:bookmarkStart w:id="5" w:name="_Toc5"/>
      <w:r>
        <w:t>Topics for further research:</w:t>
      </w:r>
      <w:bookmarkEnd w:id="5"/>
    </w:p>
    <w:p>
      <w:pPr>
        <w:spacing w:after="0"/>
        <w:numPr>
          <w:ilvl w:val="0"/>
          <w:numId w:val="2"/>
        </w:numPr>
      </w:pPr>
      <w:r>
        <w:rPr/>
        <w:t xml:space="preserve">稀柠檬酸盐溶液在连续肾脏替代治疗中的效果和安全性
</w:t>
      </w:r>
    </w:p>
    <w:p>
      <w:pPr>
        <w:spacing w:after="0"/>
        <w:numPr>
          <w:ilvl w:val="0"/>
          <w:numId w:val="2"/>
        </w:numPr>
      </w:pPr>
      <w:r>
        <w:rPr/>
        <w:t xml:space="preserve">稀柠檬酸盐溶液浓度对治疗效果的影响
</w:t>
      </w:r>
    </w:p>
    <w:p>
      <w:pPr>
        <w:spacing w:after="0"/>
        <w:numPr>
          <w:ilvl w:val="0"/>
          <w:numId w:val="2"/>
        </w:numPr>
      </w:pPr>
      <w:r>
        <w:rPr/>
        <w:t xml:space="preserve">稀柠檬酸盐溶液浓度对治疗安全性的影响
</w:t>
      </w:r>
    </w:p>
    <w:p>
      <w:pPr>
        <w:spacing w:after="0"/>
        <w:numPr>
          <w:ilvl w:val="0"/>
          <w:numId w:val="2"/>
        </w:numPr>
      </w:pPr>
      <w:r>
        <w:rPr/>
        <w:t xml:space="preserve">稀柠檬酸盐溶液浓度对治疗成本效益的影响
</w:t>
      </w:r>
    </w:p>
    <w:p>
      <w:pPr>
        <w:spacing w:after="0"/>
        <w:numPr>
          <w:ilvl w:val="0"/>
          <w:numId w:val="2"/>
        </w:numPr>
      </w:pPr>
      <w:r>
        <w:rPr/>
        <w:t xml:space="preserve">稀柠檬酸盐溶液浓度选择的最佳实践
</w:t>
      </w:r>
    </w:p>
    <w:p>
      <w:pPr>
        <w:numPr>
          <w:ilvl w:val="0"/>
          <w:numId w:val="2"/>
        </w:numPr>
      </w:pPr>
      <w:r>
        <w:rPr/>
        <w:t xml:space="preserve">稀柠檬酸盐溶液浓度选择的相关因素和变量</w:t>
      </w:r>
    </w:p>
    <w:p>
      <w:pPr>
        <w:pStyle w:val="Heading1"/>
      </w:pPr>
      <w:bookmarkStart w:id="6" w:name="_Toc6"/>
      <w:r>
        <w:t>Report location:</w:t>
      </w:r>
      <w:bookmarkEnd w:id="6"/>
    </w:p>
    <w:p>
      <w:hyperlink r:id="rId8" w:history="1">
        <w:r>
          <w:rPr>
            <w:color w:val="2980b9"/>
            <w:u w:val="single"/>
          </w:rPr>
          <w:t xml:space="preserve">https://www.fullpicture.app/item/37918fb467d13bc05021d7caf3def81e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CE0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352175/" TargetMode="External"/><Relationship Id="rId8" Type="http://schemas.openxmlformats.org/officeDocument/2006/relationships/hyperlink" Target="https://www.fullpicture.app/item/37918fb467d13bc05021d7caf3def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2024-04-18T07:56:35+02:00</dcterms:created>
  <dcterms:modified xsi:type="dcterms:W3CDTF">2024-04-18T07:56:35+02:00</dcterms:modified>
</cp:coreProperties>
</file>

<file path=docProps/custom.xml><?xml version="1.0" encoding="utf-8"?>
<Properties xmlns="http://schemas.openxmlformats.org/officeDocument/2006/custom-properties" xmlns:vt="http://schemas.openxmlformats.org/officeDocument/2006/docPropsVTypes"/>
</file>