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brief: media law and regulation in Australia - Lexology</w:t>
      </w:r>
      <w:br/>
      <w:hyperlink r:id="rId7" w:history="1">
        <w:r>
          <w:rPr>
            <w:color w:val="2980b9"/>
            <w:u w:val="single"/>
          </w:rPr>
          <w:t xml:space="preserve">https://www.lexology.com/library/detail.aspx?g=890d487f-b5ad-4e46-a6e5-bef1d4cbabcd</w:t>
        </w:r>
      </w:hyperlink>
    </w:p>
    <w:p>
      <w:pPr>
        <w:pStyle w:val="Heading1"/>
      </w:pPr>
      <w:bookmarkStart w:id="2" w:name="_Toc2"/>
      <w:r>
        <w:t>Article summary:</w:t>
      </w:r>
      <w:bookmarkEnd w:id="2"/>
    </w:p>
    <w:p>
      <w:pPr>
        <w:jc w:val="both"/>
      </w:pPr>
      <w:r>
        <w:rPr/>
        <w:t xml:space="preserve">1. The media sector in Australia is regulated by the Broadcasting Services Act 1992, with limited regulation for print-news publishing and streaming services.</w:t>
      </w:r>
    </w:p>
    <w:p>
      <w:pPr>
        <w:jc w:val="both"/>
      </w:pPr>
      <w:r>
        <w:rPr/>
        <w:t xml:space="preserve">2. Foreign ownership of Australian media businesses requires foreign investment approval, and ownership restrictions limit the number of television and radio broadcasting licenses that can be owned in the same area.</w:t>
      </w:r>
    </w:p>
    <w:p>
      <w:pPr>
        <w:jc w:val="both"/>
      </w:pPr>
      <w:r>
        <w:rPr/>
        <w:t xml:space="preserve">3. Commercial free-to-air television broadcasters have requirements for Australian content, while advertising regulations apply to both broadcast media and online platforms. There are no "must-carry" obligations for operators' broadcasting distribution networks.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media law and regulation in Australia. However, there are a few potential biases and missing points of consideration that should be noted.</w:t>
      </w:r>
    </w:p>
    <w:p>
      <w:pPr>
        <w:jc w:val="both"/>
      </w:pPr>
      <w:r>
        <w:rPr/>
        <w:t xml:space="preserve"/>
      </w:r>
    </w:p>
    <w:p>
      <w:pPr>
        <w:jc w:val="both"/>
      </w:pPr>
      <w:r>
        <w:rPr/>
        <w:t xml:space="preserve">Firstly, the article mentions that there is no sector-specific regulation for print-news publishing. While this may be true in terms of specific regulations, it fails to mention the broader legal framework that applies to all forms of media, including defamation laws and privacy laws, which can have significant implications for print news publishers.</w:t>
      </w:r>
    </w:p>
    <w:p>
      <w:pPr>
        <w:jc w:val="both"/>
      </w:pPr>
      <w:r>
        <w:rPr/>
        <w:t xml:space="preserve"/>
      </w:r>
    </w:p>
    <w:p>
      <w:pPr>
        <w:jc w:val="both"/>
      </w:pPr>
      <w:r>
        <w:rPr/>
        <w:t xml:space="preserve">Secondly, the article discusses foreign ownership restrictions for media services but does not provide any information on the rationale behind these restrictions or any potential criticisms of them. It would have been useful to explore the arguments for and against such restrictions and their impact on media diversity and competition.</w:t>
      </w:r>
    </w:p>
    <w:p>
      <w:pPr>
        <w:jc w:val="both"/>
      </w:pPr>
      <w:r>
        <w:rPr/>
        <w:t xml:space="preserve"/>
      </w:r>
    </w:p>
    <w:p>
      <w:pPr>
        <w:jc w:val="both"/>
      </w:pPr>
      <w:r>
        <w:rPr/>
        <w:t xml:space="preserve">Additionally, the article briefly mentions that streaming services will be subject to Australian content requirements from 2024 but does not provide any details on what these requirements will entail or how they will be enforced. This leaves readers with unanswered questions about the potential impact of these regulations on streaming platforms.</w:t>
      </w:r>
    </w:p>
    <w:p>
      <w:pPr>
        <w:jc w:val="both"/>
      </w:pPr>
      <w:r>
        <w:rPr/>
        <w:t xml:space="preserve"/>
      </w:r>
    </w:p>
    <w:p>
      <w:pPr>
        <w:jc w:val="both"/>
      </w:pPr>
      <w:r>
        <w:rPr/>
        <w:t xml:space="preserve">Furthermore, while the article mentions that advertising on television and radio is regulated, it does not delve into the specifics of these regulations or provide any examples of prohibited advertising practices. This limits the reader's understanding of how advertising is regulated in Australia.</w:t>
      </w:r>
    </w:p>
    <w:p>
      <w:pPr>
        <w:jc w:val="both"/>
      </w:pPr>
      <w:r>
        <w:rPr/>
        <w:t xml:space="preserve"/>
      </w:r>
    </w:p>
    <w:p>
      <w:pPr>
        <w:jc w:val="both"/>
      </w:pPr>
      <w:r>
        <w:rPr/>
        <w:t xml:space="preserve">Overall, while the article provides a good overview of media law and regulation in Australia, it could benefit from a more balanced presentation of different perspectives and a deeper exploration of certain topics.</w:t>
      </w:r>
    </w:p>
    <w:p>
      <w:pPr>
        <w:pStyle w:val="Heading1"/>
      </w:pPr>
      <w:bookmarkStart w:id="5" w:name="_Toc5"/>
      <w:r>
        <w:t>Topics for further research:</w:t>
      </w:r>
      <w:bookmarkEnd w:id="5"/>
    </w:p>
    <w:p>
      <w:pPr>
        <w:spacing w:after="0"/>
        <w:numPr>
          <w:ilvl w:val="0"/>
          <w:numId w:val="2"/>
        </w:numPr>
      </w:pPr>
      <w:r>
        <w:rPr/>
        <w:t xml:space="preserve">Criticisms of foreign ownership restrictions in Australian media industry
</w:t>
      </w:r>
    </w:p>
    <w:p>
      <w:pPr>
        <w:spacing w:after="0"/>
        <w:numPr>
          <w:ilvl w:val="0"/>
          <w:numId w:val="2"/>
        </w:numPr>
      </w:pPr>
      <w:r>
        <w:rPr/>
        <w:t xml:space="preserve">Implications of defamation laws and privacy laws on print news publishers in Australia
</w:t>
      </w:r>
    </w:p>
    <w:p>
      <w:pPr>
        <w:spacing w:after="0"/>
        <w:numPr>
          <w:ilvl w:val="0"/>
          <w:numId w:val="2"/>
        </w:numPr>
      </w:pPr>
      <w:r>
        <w:rPr/>
        <w:t xml:space="preserve">Australian content requirements for streaming services from 2024
</w:t>
      </w:r>
    </w:p>
    <w:p>
      <w:pPr>
        <w:spacing w:after="0"/>
        <w:numPr>
          <w:ilvl w:val="0"/>
          <w:numId w:val="2"/>
        </w:numPr>
      </w:pPr>
      <w:r>
        <w:rPr/>
        <w:t xml:space="preserve">Enforcement mechanisms for Australian content requirements on streaming platforms
</w:t>
      </w:r>
    </w:p>
    <w:p>
      <w:pPr>
        <w:spacing w:after="0"/>
        <w:numPr>
          <w:ilvl w:val="0"/>
          <w:numId w:val="2"/>
        </w:numPr>
      </w:pPr>
      <w:r>
        <w:rPr/>
        <w:t xml:space="preserve">Specific regulations on advertising in television and radio in Australia
</w:t>
      </w:r>
    </w:p>
    <w:p>
      <w:pPr>
        <w:numPr>
          <w:ilvl w:val="0"/>
          <w:numId w:val="2"/>
        </w:numPr>
      </w:pPr>
      <w:r>
        <w:rPr/>
        <w:t xml:space="preserve">Examples of prohibited advertising practices in Australian media industry</w:t>
      </w:r>
    </w:p>
    <w:p>
      <w:pPr>
        <w:pStyle w:val="Heading1"/>
      </w:pPr>
      <w:bookmarkStart w:id="6" w:name="_Toc6"/>
      <w:r>
        <w:t>Report location:</w:t>
      </w:r>
      <w:bookmarkEnd w:id="6"/>
    </w:p>
    <w:p>
      <w:hyperlink r:id="rId8" w:history="1">
        <w:r>
          <w:rPr>
            <w:color w:val="2980b9"/>
            <w:u w:val="single"/>
          </w:rPr>
          <w:t xml:space="preserve">https://www.fullpicture.app/item/372f3fa43aee15d97ab20223074b69a9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1F2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xology.com/library/detail.aspx?g=890d487f-b5ad-4e46-a6e5-bef1d4cbabcd" TargetMode="External"/><Relationship Id="rId8" Type="http://schemas.openxmlformats.org/officeDocument/2006/relationships/hyperlink" Target="https://www.fullpicture.app/item/372f3fa43aee15d97ab20223074b69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2024-01-11T08:53:14+01:00</dcterms:created>
  <dcterms:modified xsi:type="dcterms:W3CDTF">2024-01-11T08:53:14+01:00</dcterms:modified>
</cp:coreProperties>
</file>

<file path=docProps/custom.xml><?xml version="1.0" encoding="utf-8"?>
<Properties xmlns="http://schemas.openxmlformats.org/officeDocument/2006/custom-properties" xmlns:vt="http://schemas.openxmlformats.org/officeDocument/2006/docPropsVTypes"/>
</file>