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phenol/chloroform-free method to extract nucleic acids from recalcitrant, woody tropical species for gene expression and sequencing | Plant Methods | Full Text</w:t>
      </w:r>
      <w:br/>
      <w:hyperlink r:id="rId7" w:history="1">
        <w:r>
          <w:rPr>
            <w:color w:val="2980b9"/>
            <w:u w:val="single"/>
          </w:rPr>
          <w:t xml:space="preserve">https://plantmethods.biomedcentral.com/articles/10.1186/s13007-019-0447-3</w:t>
        </w:r>
      </w:hyperlink>
    </w:p>
    <w:p>
      <w:pPr>
        <w:pStyle w:val="Heading1"/>
      </w:pPr>
      <w:bookmarkStart w:id="2" w:name="_Toc2"/>
      <w:r>
        <w:t>Article summary:</w:t>
      </w:r>
      <w:bookmarkEnd w:id="2"/>
    </w:p>
    <w:p>
      <w:pPr>
        <w:jc w:val="both"/>
      </w:pPr>
      <w:r>
        <w:rPr/>
        <w:t xml:space="preserve">1. 传统的提取RNA或DNA的方法在处理木质热带植物时存在困难，因为这些植物含有高水平的复杂有机化合物，这些化合物会抑制提取过程。为了克服这个问题，研究人员开发了一种新的基于CTAB/PVP缓冲液的提取协议，该协议不需要传统的苯酚/氯仿步骤，并且可以用于96孔板加快处理速度。</w:t>
      </w:r>
    </w:p>
    <w:p>
      <w:pPr>
        <w:jc w:val="both"/>
      </w:pPr>
      <w:r>
        <w:rPr/>
        <w:t xml:space="preserve"/>
      </w:r>
    </w:p>
    <w:p>
      <w:pPr>
        <w:jc w:val="both"/>
      </w:pPr>
      <w:r>
        <w:rPr/>
        <w:t xml:space="preserve">2. 这种新的提取协议成功地从难以处理的坚果、鳄梨和芒果组织中提取到了RNA，并且这些RNA被成功用于合成cDNA进行实时定量PCR和生成高质量的RNA-Seq文库。</w:t>
      </w:r>
    </w:p>
    <w:p>
      <w:pPr>
        <w:jc w:val="both"/>
      </w:pPr>
      <w:r>
        <w:rPr/>
        <w:t xml:space="preserve"/>
      </w:r>
    </w:p>
    <w:p>
      <w:pPr>
        <w:jc w:val="both"/>
      </w:pPr>
      <w:r>
        <w:rPr/>
        <w:t xml:space="preserve">3. 这种方法可以安全、快速地从难以处理的物种中提取DNA和RNA，从而促进未来对热带树木的研究工作。</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这篇文章介绍了一种无酚/氯仿的方法，用于从难处理的木质热带植物中提取核酸，以进行基因表达和测序。然而，该文章存在一些潜在的偏见和问题。</w:t>
      </w:r>
    </w:p>
    <w:p>
      <w:pPr>
        <w:jc w:val="both"/>
      </w:pPr>
      <w:r>
        <w:rPr/>
        <w:t xml:space="preserve"/>
      </w:r>
    </w:p>
    <w:p>
      <w:pPr>
        <w:jc w:val="both"/>
      </w:pPr>
      <w:r>
        <w:rPr/>
        <w:t xml:space="preserve">首先，文章没有提及其他可能的方法或技术来解决从难处理植物中提取核酸的问题。它只专注于开发一种新的CTAB/PVP基础协议，并没有比较其他可能的选择。这可能导致读者对该方法的有效性和可行性产生怀疑。</w:t>
      </w:r>
    </w:p>
    <w:p>
      <w:pPr>
        <w:jc w:val="both"/>
      </w:pPr>
      <w:r>
        <w:rPr/>
        <w:t xml:space="preserve"/>
      </w:r>
    </w:p>
    <w:p>
      <w:pPr>
        <w:jc w:val="both"/>
      </w:pPr>
      <w:r>
        <w:rPr/>
        <w:t xml:space="preserve">其次，文章没有详细讨论使用CTAB/PVP缓冲液相比商业DNA/RNA提取试剂盒的优势和劣势。虽然作者声称商业试剂盒不能处理木质热带植物样品，但并未提供充分的证据支持这一观点。此外，作者也没有探讨使用CTAB/PVP缓冲液是否会引入其他问题或限制。</w:t>
      </w:r>
    </w:p>
    <w:p>
      <w:pPr>
        <w:jc w:val="both"/>
      </w:pPr>
      <w:r>
        <w:rPr/>
        <w:t xml:space="preserve"/>
      </w:r>
    </w:p>
    <w:p>
      <w:pPr>
        <w:jc w:val="both"/>
      </w:pPr>
      <w:r>
        <w:rPr/>
        <w:t xml:space="preserve">此外，在结果部分中，作者只列举了几个成功应用该方法提取RNA并进行后续实验的案例，并未提供更广泛的数据支持其结论。这使得读者很难评估该方法在不同样本类型和条件下的适用性和可靠性。</w:t>
      </w:r>
    </w:p>
    <w:p>
      <w:pPr>
        <w:jc w:val="both"/>
      </w:pPr>
      <w:r>
        <w:rPr/>
        <w:t xml:space="preserve"/>
      </w:r>
    </w:p>
    <w:p>
      <w:pPr>
        <w:jc w:val="both"/>
      </w:pPr>
      <w:r>
        <w:rPr/>
        <w:t xml:space="preserve">最后，文章没有充分讨论该方法的潜在风险和限制。例如，是否存在可能影响提取效果的样品特异性问题？是否有其他因素可能导致提取结果的变异性？这些问题对于读者来说是重要的，因为它们可以帮助评估该方法在实际应用中的可行性和可靠性。</w:t>
      </w:r>
    </w:p>
    <w:p>
      <w:pPr>
        <w:jc w:val="both"/>
      </w:pPr>
      <w:r>
        <w:rPr/>
        <w:t xml:space="preserve"/>
      </w:r>
    </w:p>
    <w:p>
      <w:pPr>
        <w:jc w:val="both"/>
      </w:pPr>
      <w:r>
        <w:rPr/>
        <w:t xml:space="preserve">综上所述，这篇文章存在一些潜在的偏见和问题，包括缺乏比较其他方法、缺乏充分证据支持观点、缺乏广泛数据支持结论以及未探讨潜在风险和限制等。读者需要谨慎对待该研究结果，并进一步进行自己的研究和验证。</w:t>
      </w:r>
    </w:p>
    <w:p>
      <w:pPr>
        <w:pStyle w:val="Heading1"/>
      </w:pPr>
      <w:bookmarkStart w:id="5" w:name="_Toc5"/>
      <w:r>
        <w:t>Topics for further research:</w:t>
      </w:r>
      <w:bookmarkEnd w:id="5"/>
    </w:p>
    <w:p>
      <w:pPr>
        <w:spacing w:after="0"/>
        <w:numPr>
          <w:ilvl w:val="0"/>
          <w:numId w:val="2"/>
        </w:numPr>
      </w:pPr>
      <w:r>
        <w:rPr/>
        <w:t xml:space="preserve">其他提取核酸的方法或技术
</w:t>
      </w:r>
    </w:p>
    <w:p>
      <w:pPr>
        <w:spacing w:after="0"/>
        <w:numPr>
          <w:ilvl w:val="0"/>
          <w:numId w:val="2"/>
        </w:numPr>
      </w:pPr>
      <w:r>
        <w:rPr/>
        <w:t xml:space="preserve">CTAB/PVP缓冲液与商业DNA/RNA提取试剂盒的比较
</w:t>
      </w:r>
    </w:p>
    <w:p>
      <w:pPr>
        <w:spacing w:after="0"/>
        <w:numPr>
          <w:ilvl w:val="0"/>
          <w:numId w:val="2"/>
        </w:numPr>
      </w:pPr>
      <w:r>
        <w:rPr/>
        <w:t xml:space="preserve">CTAB/PVP缓冲液可能引入的问题或限制
</w:t>
      </w:r>
    </w:p>
    <w:p>
      <w:pPr>
        <w:spacing w:after="0"/>
        <w:numPr>
          <w:ilvl w:val="0"/>
          <w:numId w:val="2"/>
        </w:numPr>
      </w:pPr>
      <w:r>
        <w:rPr/>
        <w:t xml:space="preserve">更广泛的数据支持该方法的适用性和可靠性
</w:t>
      </w:r>
    </w:p>
    <w:p>
      <w:pPr>
        <w:spacing w:after="0"/>
        <w:numPr>
          <w:ilvl w:val="0"/>
          <w:numId w:val="2"/>
        </w:numPr>
      </w:pPr>
      <w:r>
        <w:rPr/>
        <w:t xml:space="preserve">该方法的潜在风险和限制
</w:t>
      </w:r>
    </w:p>
    <w:p>
      <w:pPr>
        <w:numPr>
          <w:ilvl w:val="0"/>
          <w:numId w:val="2"/>
        </w:numPr>
      </w:pPr>
      <w:r>
        <w:rPr/>
        <w:t xml:space="preserve">样品特异性问题和提取结果的变异性</w:t>
      </w:r>
    </w:p>
    <w:p>
      <w:pPr>
        <w:pStyle w:val="Heading1"/>
      </w:pPr>
      <w:bookmarkStart w:id="6" w:name="_Toc6"/>
      <w:r>
        <w:t>Report location:</w:t>
      </w:r>
      <w:bookmarkEnd w:id="6"/>
    </w:p>
    <w:p>
      <w:hyperlink r:id="rId8" w:history="1">
        <w:r>
          <w:rPr>
            <w:color w:val="2980b9"/>
            <w:u w:val="single"/>
          </w:rPr>
          <w:t xml:space="preserve">https://www.fullpicture.app/item/34f80496e928945b2bd894bf4667b605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F3620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lantmethods.biomedcentral.com/articles/10.1186/s13007-019-0447-3" TargetMode="External"/><Relationship Id="rId8" Type="http://schemas.openxmlformats.org/officeDocument/2006/relationships/hyperlink" Target="https://www.fullpicture.app/item/34f80496e928945b2bd894bf4667b60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2023-12-31T10:06:46+01:00</dcterms:created>
  <dcterms:modified xsi:type="dcterms:W3CDTF">2023-12-31T10:06:46+01:00</dcterms:modified>
</cp:coreProperties>
</file>

<file path=docProps/custom.xml><?xml version="1.0" encoding="utf-8"?>
<Properties xmlns="http://schemas.openxmlformats.org/officeDocument/2006/custom-properties" xmlns:vt="http://schemas.openxmlformats.org/officeDocument/2006/docPropsVTypes"/>
</file>