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inorganic salt on the removal of typical pollutants in wastewater by RuO2/TiO2 via catalytic wet air oxidation - ScienceDirect</w:t>
      </w:r>
      <w:br/>
      <w:hyperlink r:id="rId7" w:history="1">
        <w:r>
          <w:rPr>
            <w:color w:val="2980b9"/>
            <w:u w:val="single"/>
          </w:rPr>
          <w:t xml:space="preserve">https://www.sciencedirect.com/science/article/abs/pii/S0045653522036876</w:t>
        </w:r>
      </w:hyperlink>
    </w:p>
    <w:p>
      <w:pPr>
        <w:pStyle w:val="Heading1"/>
      </w:pPr>
      <w:bookmarkStart w:id="2" w:name="_Toc2"/>
      <w:r>
        <w:t>Article summary:</w:t>
      </w:r>
      <w:bookmarkEnd w:id="2"/>
    </w:p>
    <w:p>
      <w:pPr>
        <w:jc w:val="both"/>
      </w:pPr>
      <w:r>
        <w:rPr/>
        <w:t xml:space="preserve">1. 高盐废水处理是一项具有挑战性的任务，需要同时降解有机物和分离盐。催化湿式空气氧化（CWAO）耦合脱盐技术提供了一种有效的方法来实现这一目标。</w:t>
      </w:r>
    </w:p>
    <w:p>
      <w:pPr>
        <w:jc w:val="both"/>
      </w:pPr>
      <w:r>
        <w:rPr/>
        <w:t xml:space="preserve">2. 研究表明，过量的无机盐会对污染物的自由基清除产生显著抑制作用，但是在CWAO过程中，关于无机盐的作用研究较少。</w:t>
      </w:r>
    </w:p>
    <w:p>
      <w:pPr>
        <w:jc w:val="both"/>
      </w:pPr>
      <w:r>
        <w:rPr/>
        <w:t xml:space="preserve">3. 本文通过研究RuO2/TiO2催化剂在不同钙化温度下对典型污染物进行CWAO降解，并探讨了不同无机盐对其降解效果的影响。结果表明，RuO2/TiO2-350催化剂具有良好的耐盐性能和高降解活性。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该文章主要探讨了RuO2/TiO2催化湿式空气氧化技术在高盐度废水中去除有机污染物的效果，并研究了无机盐对该技术的影响。然而，该文章存在以下问题：</w:t>
      </w:r>
    </w:p>
    <w:p>
      <w:pPr>
        <w:jc w:val="both"/>
      </w:pPr>
      <w:r>
        <w:rPr/>
        <w:t xml:space="preserve"/>
      </w:r>
    </w:p>
    <w:p>
      <w:pPr>
        <w:jc w:val="both"/>
      </w:pPr>
      <w:r>
        <w:rPr/>
        <w:t xml:space="preserve">1. 偏重于技术方案而忽略了环境和社会因素：该文章只关注了一种废水处理技术，但没有考虑其可能带来的环境和社会风险。例如，如果处理过程中产生的副产品或残留物质对环境或人类健康造成危害，则需要进行更全面的评估。</w:t>
      </w:r>
    </w:p>
    <w:p>
      <w:pPr>
        <w:jc w:val="both"/>
      </w:pPr>
      <w:r>
        <w:rPr/>
        <w:t xml:space="preserve"/>
      </w:r>
    </w:p>
    <w:p>
      <w:pPr>
        <w:jc w:val="both"/>
      </w:pPr>
      <w:r>
        <w:rPr/>
        <w:t xml:space="preserve">2. 缺乏对其他废水处理技术的比较：尽管该文章提到了膜分离等其他废水处理技术，但并未对这些技术与RuO2/TiO2催化湿式空气氧化技术进行比较。这使得读者难以确定哪种方法最适合他们的特定情况。</w:t>
      </w:r>
    </w:p>
    <w:p>
      <w:pPr>
        <w:jc w:val="both"/>
      </w:pPr>
      <w:r>
        <w:rPr/>
        <w:t xml:space="preserve"/>
      </w:r>
    </w:p>
    <w:p>
      <w:pPr>
        <w:jc w:val="both"/>
      </w:pPr>
      <w:r>
        <w:rPr/>
        <w:t xml:space="preserve">3. 忽略了盐对催化剂寿命和稳定性的影响：尽管该文章研究了无机盐对RuO2/TiO2催化剂活性的影响，但并未考虑盐可能对催化剂寿命和稳定性造成的影响。这是一个重要问题，因为长期使用可能导致催化剂失效或降解。</w:t>
      </w:r>
    </w:p>
    <w:p>
      <w:pPr>
        <w:jc w:val="both"/>
      </w:pPr>
      <w:r>
        <w:rPr/>
        <w:t xml:space="preserve"/>
      </w:r>
    </w:p>
    <w:p>
      <w:pPr>
        <w:jc w:val="both"/>
      </w:pPr>
      <w:r>
        <w:rPr/>
        <w:t xml:space="preserve">4. 缺乏实际应用案例：尽管该文章提供了实验室测试结果，但缺乏实际应用案例来证明RuO2/TiO2催化湿式空气氧化技术在实践中是否有效。这使得读者难以确定其可行性和可靠性。</w:t>
      </w:r>
    </w:p>
    <w:p>
      <w:pPr>
        <w:jc w:val="both"/>
      </w:pPr>
      <w:r>
        <w:rPr/>
        <w:t xml:space="preserve"/>
      </w:r>
    </w:p>
    <w:p>
      <w:pPr>
        <w:jc w:val="both"/>
      </w:pPr>
      <w:r>
        <w:rPr/>
        <w:t xml:space="preserve">5. 受资助者利益干扰：该文章未披露任何潜在利益冲突或资助者背景信息。这可能导致读者怀疑作者是否受到资助者利益干扰，并且是否存在偏见。</w:t>
      </w:r>
    </w:p>
    <w:p>
      <w:pPr>
        <w:jc w:val="both"/>
      </w:pPr>
      <w:r>
        <w:rPr/>
        <w:t xml:space="preserve"/>
      </w:r>
    </w:p>
    <w:p>
      <w:pPr>
        <w:jc w:val="both"/>
      </w:pPr>
      <w:r>
        <w:rPr/>
        <w:t xml:space="preserve">综上所述，虽然该文章提供了一些有价值的信息，但仍存在一些问题需要进一步解决。为确保公正、客观地呈现科学研究结果，作者应更加全面地考虑各种因素，并披露任何潜在利益冲突或资助者背景信息。</w:t>
      </w:r>
    </w:p>
    <w:p>
      <w:pPr>
        <w:pStyle w:val="Heading1"/>
      </w:pPr>
      <w:bookmarkStart w:id="5" w:name="_Toc5"/>
      <w:r>
        <w:t>Topics for further research:</w:t>
      </w:r>
      <w:bookmarkEnd w:id="5"/>
    </w:p>
    <w:p>
      <w:pPr>
        <w:spacing w:after="0"/>
        <w:numPr>
          <w:ilvl w:val="0"/>
          <w:numId w:val="2"/>
        </w:numPr>
      </w:pPr>
      <w:r>
        <w:rPr/>
        <w:t xml:space="preserve">Environmental and social risks of the technology
</w:t>
      </w:r>
    </w:p>
    <w:p>
      <w:pPr>
        <w:spacing w:after="0"/>
        <w:numPr>
          <w:ilvl w:val="0"/>
          <w:numId w:val="2"/>
        </w:numPr>
      </w:pPr>
      <w:r>
        <w:rPr/>
        <w:t xml:space="preserve">Comparison with other wastewater treatment technologies
</w:t>
      </w:r>
    </w:p>
    <w:p>
      <w:pPr>
        <w:spacing w:after="0"/>
        <w:numPr>
          <w:ilvl w:val="0"/>
          <w:numId w:val="2"/>
        </w:numPr>
      </w:pPr>
      <w:r>
        <w:rPr/>
        <w:t xml:space="preserve">Impact of salt on catalyst lifespan and stability
</w:t>
      </w:r>
    </w:p>
    <w:p>
      <w:pPr>
        <w:spacing w:after="0"/>
        <w:numPr>
          <w:ilvl w:val="0"/>
          <w:numId w:val="2"/>
        </w:numPr>
      </w:pPr>
      <w:r>
        <w:rPr/>
        <w:t xml:space="preserve">Lack of real-world application cases
</w:t>
      </w:r>
    </w:p>
    <w:p>
      <w:pPr>
        <w:spacing w:after="0"/>
        <w:numPr>
          <w:ilvl w:val="0"/>
          <w:numId w:val="2"/>
        </w:numPr>
      </w:pPr>
      <w:r>
        <w:rPr/>
        <w:t xml:space="preserve">Potential conflict of interest or funding sources
</w:t>
      </w:r>
    </w:p>
    <w:p>
      <w:pPr>
        <w:numPr>
          <w:ilvl w:val="0"/>
          <w:numId w:val="2"/>
        </w:numPr>
      </w:pPr>
      <w:r>
        <w:rPr/>
        <w:t xml:space="preserve">Need for more comprehensive evaluation of the technology</w:t>
      </w:r>
    </w:p>
    <w:p>
      <w:pPr>
        <w:pStyle w:val="Heading1"/>
      </w:pPr>
      <w:bookmarkStart w:id="6" w:name="_Toc6"/>
      <w:r>
        <w:t>Report location:</w:t>
      </w:r>
      <w:bookmarkEnd w:id="6"/>
    </w:p>
    <w:p>
      <w:hyperlink r:id="rId8" w:history="1">
        <w:r>
          <w:rPr>
            <w:color w:val="2980b9"/>
            <w:u w:val="single"/>
          </w:rPr>
          <w:t xml:space="preserve">https://www.fullpicture.app/item/345ad0334db1fd7793352ae43cfbf95e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AD7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5653522036876" TargetMode="External"/><Relationship Id="rId8" Type="http://schemas.openxmlformats.org/officeDocument/2006/relationships/hyperlink" Target="https://www.fullpicture.app/item/345ad0334db1fd7793352ae43cfbf9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2023-06-05T18:30:17+02:00</dcterms:created>
  <dcterms:modified xsi:type="dcterms:W3CDTF">2023-06-05T18:30:17+02:00</dcterms:modified>
</cp:coreProperties>
</file>

<file path=docProps/custom.xml><?xml version="1.0" encoding="utf-8"?>
<Properties xmlns="http://schemas.openxmlformats.org/officeDocument/2006/custom-properties" xmlns:vt="http://schemas.openxmlformats.org/officeDocument/2006/docPropsVTypes"/>
</file>