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电子烟监管：是时候制定新的烟草控制框架公约了吗？ - Buchanan - 2023 - 呼吸学 - Wiley Online Library</w:t>
      </w:r>
      <w:br/>
      <w:hyperlink r:id="rId7" w:history="1">
        <w:r>
          <w:rPr>
            <w:color w:val="2980b9"/>
            <w:u w:val="single"/>
          </w:rPr>
          <w:t xml:space="preserve">https://onlinelibrary.wiley.com/doi/full/10.1111/resp.14466</w:t>
        </w:r>
      </w:hyperlink>
    </w:p>
    <w:p>
      <w:pPr>
        <w:pStyle w:val="Heading1"/>
      </w:pPr>
      <w:bookmarkStart w:id="2" w:name="_Toc2"/>
      <w:r>
        <w:t>Article summary:</w:t>
      </w:r>
      <w:bookmarkEnd w:id="2"/>
    </w:p>
    <w:p>
      <w:pPr>
        <w:jc w:val="both"/>
      </w:pPr>
      <w:r>
        <w:rPr/>
        <w:t xml:space="preserve">1. 烟草控制框架公约 (FCTC) 是解决各种形式的烟草使用对健康造成的破坏性影响的条约，需要考虑采取监管措施来限制电子烟的使用。</w:t>
      </w:r>
    </w:p>
    <w:p>
      <w:pPr>
        <w:jc w:val="both"/>
      </w:pPr>
      <w:r>
        <w:rPr/>
        <w:t xml:space="preserve">2. 烟草公司在电子烟市场占有一席之地，非吸烟者成为烟草使用者的可能性高出三倍，因此需要保护公共卫生政策免受商业和既得利益的影响。</w:t>
      </w:r>
    </w:p>
    <w:p>
      <w:pPr>
        <w:jc w:val="both"/>
      </w:pPr>
      <w:r>
        <w:rPr/>
        <w:t xml:space="preserve">3. 烟草业以虚假宣传方式推销电子烟，声称其是戒烟必要方法和减少烟草危害的一种形式，但证据表明仍然吸烟的人并没有变得更不能或更不愿意戒烟。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该文章主要讨论了电子烟监管的必要性，并提出了烟草控制框架公约 (FCTC) 对于监管电子烟的重要性。然而，该文章存在以下问题：</w:t>
      </w:r>
    </w:p>
    <w:p>
      <w:pPr>
        <w:jc w:val="both"/>
      </w:pPr>
      <w:r>
        <w:rPr/>
        <w:t xml:space="preserve"/>
      </w:r>
    </w:p>
    <w:p>
      <w:pPr>
        <w:jc w:val="both"/>
      </w:pPr>
      <w:r>
        <w:rPr/>
        <w:t xml:space="preserve">1. 偏见及来源：文章中对烟草公司的态度带有明显的偏见，将其描述为“欺骗行为”和“循环利用其一揽子破坏公共卫生措施的伎俩”。这种偏见可能来自于作者对烟草公司的负面印象或者是受到其他机构或个人的影响。</w:t>
      </w:r>
    </w:p>
    <w:p>
      <w:pPr>
        <w:jc w:val="both"/>
      </w:pPr>
      <w:r>
        <w:rPr/>
        <w:t xml:space="preserve"/>
      </w:r>
    </w:p>
    <w:p>
      <w:pPr>
        <w:jc w:val="both"/>
      </w:pPr>
      <w:r>
        <w:rPr/>
        <w:t xml:space="preserve">2. 片面报道：文章只提到了非吸烟者成为烟草使用者的可能性高出三倍，但没有提到电子烟可以帮助吸烟者戒烟的事实。这种片面报道可能会导致读者对电子烟产生误解。</w:t>
      </w:r>
    </w:p>
    <w:p>
      <w:pPr>
        <w:jc w:val="both"/>
      </w:pPr>
      <w:r>
        <w:rPr/>
        <w:t xml:space="preserve"/>
      </w:r>
    </w:p>
    <w:p>
      <w:pPr>
        <w:jc w:val="both"/>
      </w:pPr>
      <w:r>
        <w:rPr/>
        <w:t xml:space="preserve">3. 缺失考虑点：文章没有考虑到电子烟在减少尼古丁成瘾方面是否比传统香烟更有效。此外，文章也没有探讨电子烟能否作为一种替代品来帮助吸烟者逐渐戒除香烟。</w:t>
      </w:r>
    </w:p>
    <w:p>
      <w:pPr>
        <w:jc w:val="both"/>
      </w:pPr>
      <w:r>
        <w:rPr/>
        <w:t xml:space="preserve"/>
      </w:r>
    </w:p>
    <w:p>
      <w:pPr>
        <w:jc w:val="both"/>
      </w:pPr>
      <w:r>
        <w:rPr/>
        <w:t xml:space="preserve">4. 主张缺失证据：文章中提到了“研究表明，非吸烟者成为烟草使用者的可能性高出三倍”，但没有提供具体的研究数据或引用可靠的来源来支持这一主张。</w:t>
      </w:r>
    </w:p>
    <w:p>
      <w:pPr>
        <w:jc w:val="both"/>
      </w:pPr>
      <w:r>
        <w:rPr/>
        <w:t xml:space="preserve"/>
      </w:r>
    </w:p>
    <w:p>
      <w:pPr>
        <w:jc w:val="both"/>
      </w:pPr>
      <w:r>
        <w:rPr/>
        <w:t xml:space="preserve">5. 未探索反驳：文章没有探讨电子烟监管可能会对吸烟者造成的影响，例如是否会导致他们回归传统香烟或者寻找其他替代品。</w:t>
      </w:r>
    </w:p>
    <w:p>
      <w:pPr>
        <w:jc w:val="both"/>
      </w:pPr>
      <w:r>
        <w:rPr/>
        <w:t xml:space="preserve"/>
      </w:r>
    </w:p>
    <w:p>
      <w:pPr>
        <w:jc w:val="both"/>
      </w:pPr>
      <w:r>
        <w:rPr/>
        <w:t xml:space="preserve">6. 宣传内容：文章中将电子烟市场描述为“商业和既得利益者烟草业的利益”，这种宣传内容可能会误导读者对电子烟产生负面印象。</w:t>
      </w:r>
    </w:p>
    <w:p>
      <w:pPr>
        <w:jc w:val="both"/>
      </w:pPr>
      <w:r>
        <w:rPr/>
        <w:t xml:space="preserve"/>
      </w:r>
    </w:p>
    <w:p>
      <w:pPr>
        <w:jc w:val="both"/>
      </w:pPr>
      <w:r>
        <w:rPr/>
        <w:t xml:space="preserve">综上所述，该文章存在一些偏见、片面报道、缺失考虑点和主张缺失证据等问题。在讨论电子烟监管时，应该平等地呈现双方观点，并充分考虑各种因素和风险。</w:t>
      </w:r>
    </w:p>
    <w:p>
      <w:pPr>
        <w:pStyle w:val="Heading1"/>
      </w:pPr>
      <w:bookmarkStart w:id="5" w:name="_Toc5"/>
      <w:r>
        <w:t>Topics for further research:</w:t>
      </w:r>
      <w:bookmarkEnd w:id="5"/>
    </w:p>
    <w:p>
      <w:pPr>
        <w:spacing w:after="0"/>
        <w:numPr>
          <w:ilvl w:val="0"/>
          <w:numId w:val="2"/>
        </w:numPr>
      </w:pPr>
      <w:r>
        <w:rPr/>
        <w:t xml:space="preserve">Bias and sources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numPr>
          <w:ilvl w:val="0"/>
          <w:numId w:val="2"/>
        </w:numPr>
      </w:pPr>
      <w:r>
        <w:rPr/>
        <w:t xml:space="preserve">Promotional content</w:t>
      </w:r>
    </w:p>
    <w:p>
      <w:pPr>
        <w:pStyle w:val="Heading1"/>
      </w:pPr>
      <w:bookmarkStart w:id="6" w:name="_Toc6"/>
      <w:r>
        <w:t>Report location:</w:t>
      </w:r>
      <w:bookmarkEnd w:id="6"/>
    </w:p>
    <w:p>
      <w:hyperlink r:id="rId8" w:history="1">
        <w:r>
          <w:rPr>
            <w:color w:val="2980b9"/>
            <w:u w:val="single"/>
          </w:rPr>
          <w:t xml:space="preserve">https://www.fullpicture.app/item/33e9d068e01f78e7799d1f75a4706372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715C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resp.14466" TargetMode="External"/><Relationship Id="rId8" Type="http://schemas.openxmlformats.org/officeDocument/2006/relationships/hyperlink" Target="https://www.fullpicture.app/item/33e9d068e01f78e7799d1f75a47063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2023-12-23T01:16:35+01:00</dcterms:created>
  <dcterms:modified xsi:type="dcterms:W3CDTF">2023-12-23T01:16:35+01:00</dcterms:modified>
</cp:coreProperties>
</file>

<file path=docProps/custom.xml><?xml version="1.0" encoding="utf-8"?>
<Properties xmlns="http://schemas.openxmlformats.org/officeDocument/2006/custom-properties" xmlns:vt="http://schemas.openxmlformats.org/officeDocument/2006/docPropsVTypes"/>
</file>