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Sustainable mutual fund performance and flow in the recent years through the COVID-19 pandemic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https://vpn.jlu.edu.cn/https/6a6c7576706e6973746865676f6f642146ab1ccab988c2a628982887fb4b0f3fca7e3a30a5/science/article/pii/S1057521922003374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可持续投资已经成为一个重要的趋势，管理的资产规模达到了 $17.1 万亿美元。</w:t>
      </w:r>
    </w:p>
    <w:p>
      <w:pPr>
        <w:jc w:val="both"/>
      </w:pPr>
      <w:r>
        <w:rPr/>
        <w:t xml:space="preserve">2. 对于可持续共同基金的表现，早期研究结果不一致。最近的研究使用新的评级方法来解决这个问题。</w:t>
      </w:r>
    </w:p>
    <w:p>
      <w:pPr>
        <w:jc w:val="both"/>
      </w:pPr>
      <w:r>
        <w:rPr/>
        <w:t xml:space="preserve">3. COVID-19 疫情对可持续共同基金的表现和流动性产生了影响，但具体影响需要进一步研究。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该文章主要探讨可持续投资的表现和流动性，并研究COVID-19大流行是否对其产生影响。然而，该文章存在一些潜在的偏见和不足之处。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可持续投资的风险。虽然可持续投资可以带来社会和环境效益，但也可能面临一些风险，例如政策变化、技术进步、自然灾害等。因此，在评估可持续投资的表现时，应该考虑这些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其次，该文章没有平等地呈现双方的观点。尽管有一些早期研究发现可持续基金表现不佳，但也有其他研究发现它们表现良好。因此，在评估可持续基金表现时，应该平衡各种观点，并避免片面报道。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此外，该文章提出了一些主张，但缺乏证据支持。例如，在介绍早期研究时，作者声称“实证证据关于可持续互惠基金业绩的结论是混合和不确定的”，但并未提供任何具体数据或参考文献来支撑这个说法。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。作者声称可持续投资已经获得了显著的动力，但并未提及任何可能的负面影响或风险。此外，该文章没有探讨可持续投资是否适合所有投资者，而是默认认为它是一种普遍适用的投资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总之，虽然该文章提供了一些有价值的信息和观点，但也存在一些潜在的偏见和不足之处。在评估可持续投资表现时，应该充分考虑各种因素，并避免片面报道和宣传内容。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factors of sustainable investments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mixed conclusions on sustainable fund performance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and risks of sustainable investments
</w:t>
      </w:r>
    </w:p>
    <w:p>
      <w:pPr>
        <w:spacing w:after="0"/>
        <w:numPr>
          <w:ilvl w:val="0"/>
          <w:numId w:val="2"/>
        </w:numPr>
      </w:pPr>
      <w:r>
        <w:rPr/>
        <w:t xml:space="preserve">Suitability of sustainable investments for all investors
</w:t>
      </w:r>
    </w:p>
    <w:p>
      <w:pPr>
        <w:numPr>
          <w:ilvl w:val="0"/>
          <w:numId w:val="2"/>
        </w:numPr>
      </w:pPr>
      <w:r>
        <w:rPr/>
        <w:t xml:space="preserve">Avoidance of biased reporting and promotion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https://www.fullpicture.app/item/33c59a3dafe3c7cc3fe1cf576ce80b6e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806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1057521922003374" TargetMode="External"/><Relationship Id="rId8" Type="http://schemas.openxmlformats.org/officeDocument/2006/relationships/hyperlink" Target="https://www.fullpicture.app/item/33c59a3dafe3c7cc3fe1cf576ce80b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2023-12-29T23:13:07+01:00</dcterms:created>
  <dcterms:modified xsi:type="dcterms:W3CDTF">2023-12-29T23:13:07+01:00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