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Macro, Mezzo, and Micro Social Work</w:t>
      </w:r>
      <w:br/>
      <w:hyperlink r:id="rId7" w:history="1">
        <w:r>
          <w:rPr>
            <w:color w:val="2980b9"/>
            <w:u w:val="single"/>
          </w:rPr>
          <w:t xml:space="preserve">https://socialworklicensemap.com/become-a-social-worker/macro-mezzo-and-micro-social-work/</w:t>
        </w:r>
      </w:hyperlink>
    </w:p>
    <w:p>
      <w:pPr>
        <w:pStyle w:val="Heading1"/>
      </w:pPr>
      <w:bookmarkStart w:id="2" w:name="_Toc2"/>
      <w:r>
        <w:t>Article summary:</w:t>
      </w:r>
      <w:bookmarkEnd w:id="2"/>
    </w:p>
    <w:p>
      <w:pPr>
        <w:jc w:val="both"/>
      </w:pPr>
      <w:r>
        <w:rPr/>
        <w:t xml:space="preserve">1. Social work is divided into three scopes of practice: macro, mezzo, and micro.</w:t>
      </w:r>
    </w:p>
    <w:p>
      <w:pPr>
        <w:jc w:val="both"/>
      </w:pPr>
      <w:r>
        <w:rPr/>
        <w:t xml:space="preserve">2. Macro social work focuses on policy change and building stronger communities.</w:t>
      </w:r>
    </w:p>
    <w:p>
      <w:pPr>
        <w:jc w:val="both"/>
      </w:pPr>
      <w:r>
        <w:rPr/>
        <w:t xml:space="preserve">3. Mezzo social work operates on an intermediate scale, serving neighborhoods and smaller groups, while micro social work involves one-on-one interactions to address individual problems.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"Macro, Mezzo, and Micro Social Work" provides an overview of the different scopes of practice within the field of social work. While it offers some useful information about each area, there are several potential biases and limitations in the article that should be considered.</w:t>
      </w:r>
    </w:p>
    <w:p>
      <w:pPr>
        <w:jc w:val="both"/>
      </w:pPr>
      <w:r>
        <w:rPr/>
        <w:t xml:space="preserve"/>
      </w:r>
    </w:p>
    <w:p>
      <w:pPr>
        <w:jc w:val="both"/>
      </w:pPr>
      <w:r>
        <w:rPr/>
        <w:t xml:space="preserve">One potential bias in the article is its promotion of social work as a career choice. The article repeatedly emphasizes the demand for social workers and the expected job growth in the field. While this may be true, it is important to note that social work is not without its challenges and limitations. The article does not provide a balanced view of the profession, failing to mention potential burnout, high caseloads, and limited resources that social workers often face.</w:t>
      </w:r>
    </w:p>
    <w:p>
      <w:pPr>
        <w:jc w:val="both"/>
      </w:pPr>
      <w:r>
        <w:rPr/>
        <w:t xml:space="preserve"/>
      </w:r>
    </w:p>
    <w:p>
      <w:pPr>
        <w:jc w:val="both"/>
      </w:pPr>
      <w:r>
        <w:rPr/>
        <w:t xml:space="preserve">Additionally, the article presents a somewhat simplistic view of macro, mezzo, and micro social work. It describes macro social work as focusing on policy change and advocacy, mezzo social work as working with smaller groups or institutions, and micro social work as providing direct services to individuals. While these descriptions are accurate to some extent, they fail to capture the complexity and overlap between these areas of practice. In reality, many social workers engage in multiple levels of practice simultaneously.</w:t>
      </w:r>
    </w:p>
    <w:p>
      <w:pPr>
        <w:jc w:val="both"/>
      </w:pPr>
      <w:r>
        <w:rPr/>
        <w:t xml:space="preserve"/>
      </w:r>
    </w:p>
    <w:p>
      <w:pPr>
        <w:jc w:val="both"/>
      </w:pPr>
      <w:r>
        <w:rPr/>
        <w:t xml:space="preserve">The article also lacks evidence to support some of its claims. For example, it states that more social workers have gravitated toward mezzo and micro work in recent years but does not provide any data or research to support this claim. Similarly, it suggests that there has been an uptick in students pursuing macro areas of study but does not provide any evidence for this trend.</w:t>
      </w:r>
    </w:p>
    <w:p>
      <w:pPr>
        <w:jc w:val="both"/>
      </w:pPr>
      <w:r>
        <w:rPr/>
        <w:t xml:space="preserve"/>
      </w:r>
    </w:p>
    <w:p>
      <w:pPr>
        <w:jc w:val="both"/>
      </w:pPr>
      <w:r>
        <w:rPr/>
        <w:t xml:space="preserve">Furthermore, the article does not explore counterarguments or alternative perspectives on the different scopes of practice in social work. It presents macro social work as focused on policy change and mezzo/micro social work as focused on direct service provision without acknowledging potential criticisms or limitations of these approaches.</w:t>
      </w:r>
    </w:p>
    <w:p>
      <w:pPr>
        <w:jc w:val="both"/>
      </w:pPr>
      <w:r>
        <w:rPr/>
        <w:t xml:space="preserve"/>
      </w:r>
    </w:p>
    <w:p>
      <w:pPr>
        <w:jc w:val="both"/>
      </w:pPr>
      <w:r>
        <w:rPr/>
        <w:t xml:space="preserve">There is also a lack of consideration for cultural competency and diversity within social work practice. The article does not address how different cultural backgrounds and identities may influence the practice of social work at different levels. This is an important consideration, as social workers must be able to understand and address the unique needs and challenges faced by individuals from diverse backgrounds.</w:t>
      </w:r>
    </w:p>
    <w:p>
      <w:pPr>
        <w:jc w:val="both"/>
      </w:pPr>
      <w:r>
        <w:rPr/>
        <w:t xml:space="preserve"/>
      </w:r>
    </w:p>
    <w:p>
      <w:pPr>
        <w:jc w:val="both"/>
      </w:pPr>
      <w:r>
        <w:rPr/>
        <w:t xml:space="preserve">Overall, while the article provides a basic overview of macro, mezzo, and micro social work, it falls short in providing a comprehensive and balanced analysis of these areas of practice. It would benefit from including more evidence-based information, addressing potential biases, exploring counterarguments, and considering the complexities of social work practice.</w:t>
      </w:r>
    </w:p>
    <w:p>
      <w:pPr>
        <w:pStyle w:val="Heading1"/>
      </w:pPr>
      <w:bookmarkStart w:id="5" w:name="_Toc5"/>
      <w:r>
        <w:t>Topics for further research:</w:t>
      </w:r>
      <w:bookmarkEnd w:id="5"/>
    </w:p>
    <w:p>
      <w:pPr>
        <w:spacing w:after="0"/>
        <w:numPr>
          <w:ilvl w:val="0"/>
          <w:numId w:val="2"/>
        </w:numPr>
      </w:pPr>
      <w:r>
        <w:rPr/>
        <w:t xml:space="preserve">Criticisms and limitations of macro social work practice
</w:t>
      </w:r>
    </w:p>
    <w:p>
      <w:pPr>
        <w:spacing w:after="0"/>
        <w:numPr>
          <w:ilvl w:val="0"/>
          <w:numId w:val="2"/>
        </w:numPr>
      </w:pPr>
      <w:r>
        <w:rPr/>
        <w:t xml:space="preserve">Overlapping roles and responsibilities in social work practice
</w:t>
      </w:r>
    </w:p>
    <w:p>
      <w:pPr>
        <w:spacing w:after="0"/>
        <w:numPr>
          <w:ilvl w:val="0"/>
          <w:numId w:val="2"/>
        </w:numPr>
      </w:pPr>
      <w:r>
        <w:rPr/>
        <w:t xml:space="preserve">Challenges and burnout in the social work profession
</w:t>
      </w:r>
    </w:p>
    <w:p>
      <w:pPr>
        <w:spacing w:after="0"/>
        <w:numPr>
          <w:ilvl w:val="0"/>
          <w:numId w:val="2"/>
        </w:numPr>
      </w:pPr>
      <w:r>
        <w:rPr/>
        <w:t xml:space="preserve">Cultural competency and diversity in social work practice
</w:t>
      </w:r>
    </w:p>
    <w:p>
      <w:pPr>
        <w:spacing w:after="0"/>
        <w:numPr>
          <w:ilvl w:val="0"/>
          <w:numId w:val="2"/>
        </w:numPr>
      </w:pPr>
      <w:r>
        <w:rPr/>
        <w:t xml:space="preserve">Research on trends in social work practice areas
</w:t>
      </w:r>
    </w:p>
    <w:p>
      <w:pPr>
        <w:numPr>
          <w:ilvl w:val="0"/>
          <w:numId w:val="2"/>
        </w:numPr>
      </w:pPr>
      <w:r>
        <w:rPr/>
        <w:t xml:space="preserve">Balancing direct service provision and policy change in social work</w:t>
      </w:r>
    </w:p>
    <w:p>
      <w:pPr>
        <w:pStyle w:val="Heading1"/>
      </w:pPr>
      <w:bookmarkStart w:id="6" w:name="_Toc6"/>
      <w:r>
        <w:t>Report location:</w:t>
      </w:r>
      <w:bookmarkEnd w:id="6"/>
    </w:p>
    <w:p>
      <w:hyperlink r:id="rId8" w:history="1">
        <w:r>
          <w:rPr>
            <w:color w:val="2980b9"/>
            <w:u w:val="single"/>
          </w:rPr>
          <w:t xml:space="preserve">https://www.fullpicture.app/item/32a25336533b2ad58d2b8a2ba27d1c2f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E06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ialworklicensemap.com/become-a-social-worker/macro-mezzo-and-micro-social-work/" TargetMode="External"/><Relationship Id="rId8" Type="http://schemas.openxmlformats.org/officeDocument/2006/relationships/hyperlink" Target="https://www.fullpicture.app/item/32a25336533b2ad58d2b8a2ba27d1c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2024-01-27T23:23:11+01:00</dcterms:created>
  <dcterms:modified xsi:type="dcterms:W3CDTF">2024-01-27T23:23:11+01:00</dcterms:modified>
</cp:coreProperties>
</file>

<file path=docProps/custom.xml><?xml version="1.0" encoding="utf-8"?>
<Properties xmlns="http://schemas.openxmlformats.org/officeDocument/2006/custom-properties" xmlns:vt="http://schemas.openxmlformats.org/officeDocument/2006/docPropsVTypes"/>
</file>