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Materials | Free Full-Text | On the Calibration of a Numerical Model for Concrete-to-Concrete Interface</w:t>
      </w:r>
      <w:br/>
      <w:hyperlink r:id="rId7" w:history="1">
        <w:r>
          <w:rPr>
            <w:color w:val="2980b9"/>
            <w:u w:val="single"/>
          </w:rPr>
          <w:t xml:space="preserve">https://www.mdpi.com/1996-1944/14/23/7204</w:t>
        </w:r>
      </w:hyperlink>
    </w:p>
    <w:p>
      <w:pPr>
        <w:pStyle w:val="Heading1"/>
      </w:pPr>
      <w:bookmarkStart w:id="2" w:name="_Toc2"/>
      <w:r>
        <w:t>Article summary:</w:t>
      </w:r>
      <w:bookmarkEnd w:id="2"/>
    </w:p>
    <w:p>
      <w:pPr>
        <w:jc w:val="both"/>
      </w:pPr>
      <w:r>
        <w:rPr/>
        <w:t xml:space="preserve">1. Numerical modelling of concrete-to-concrete interfaces is important for simulating the behavior of composite structures, which often have interfaces of different types of concretes with significantly varying strength properties.</w:t>
      </w:r>
    </w:p>
    <w:p>
      <w:pPr>
        <w:jc w:val="both"/>
      </w:pPr>
      <w:r>
        <w:rPr/>
        <w:t xml:space="preserve">2. The proper and robust calibration of an interface model is crucial to accurately predict the strength and post-cracking behavior of the interface under complex traction stress states.</w:t>
      </w:r>
    </w:p>
    <w:p>
      <w:pPr>
        <w:jc w:val="both"/>
      </w:pPr>
      <w:r>
        <w:rPr/>
        <w:t xml:space="preserve">3. Mechanical parameters for the interface model can be determined through various strength tests, including pull-off tests, splitting or direct tension tests, and slant-shear tests. New testing methods have also been developed for determining interface shear strength.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作为一篇关于混凝土界面数值模拟的文章，本文提供了对不同类型混凝土之间界面的研究。然而，本文存在以下问题：</w:t>
      </w:r>
    </w:p>
    <w:p>
      <w:pPr>
        <w:jc w:val="both"/>
      </w:pPr>
      <w:r>
        <w:rPr/>
        <w:t xml:space="preserve"/>
      </w:r>
    </w:p>
    <w:p>
      <w:pPr>
        <w:jc w:val="both"/>
      </w:pPr>
      <w:r>
        <w:rPr/>
        <w:t xml:space="preserve">1. 偏见来源：本文只关注了混凝土之间的界面，而忽略了其他建筑材料之间的界面。这可能导致读者对该领域整体情况的理解不足。</w:t>
      </w:r>
    </w:p>
    <w:p>
      <w:pPr>
        <w:jc w:val="both"/>
      </w:pPr>
      <w:r>
        <w:rPr/>
        <w:t xml:space="preserve"/>
      </w:r>
    </w:p>
    <w:p>
      <w:pPr>
        <w:jc w:val="both"/>
      </w:pPr>
      <w:r>
        <w:rPr/>
        <w:t xml:space="preserve">2. 片面报道：本文只介绍了使用有限元代码进行数值模拟时需要考虑的问题，但并未提及其他方法或技术。这可能会使读者误以为有限元是唯一可行的方法。</w:t>
      </w:r>
    </w:p>
    <w:p>
      <w:pPr>
        <w:jc w:val="both"/>
      </w:pPr>
      <w:r>
        <w:rPr/>
        <w:t xml:space="preserve"/>
      </w:r>
    </w:p>
    <w:p>
      <w:pPr>
        <w:jc w:val="both"/>
      </w:pPr>
      <w:r>
        <w:rPr/>
        <w:t xml:space="preserve">3. 缺失考虑点：本文没有讨论混凝土界面在实际应用中可能遇到的问题，如环境因素、长期使用等。这些因素可能会影响混凝土界面的性能和寿命。</w:t>
      </w:r>
    </w:p>
    <w:p>
      <w:pPr>
        <w:jc w:val="both"/>
      </w:pPr>
      <w:r>
        <w:rPr/>
        <w:t xml:space="preserve"/>
      </w:r>
    </w:p>
    <w:p>
      <w:pPr>
        <w:jc w:val="both"/>
      </w:pPr>
      <w:r>
        <w:rPr/>
        <w:t xml:space="preserve">4. 主张缺失证据：本文提出了需要精确预测混凝土界面强度和裂纹后行为的数值模型，并指出可以使用不同强度测试结果来确定机械参数。然而，作者并未提供任何证据来支持这些主张。</w:t>
      </w:r>
    </w:p>
    <w:p>
      <w:pPr>
        <w:jc w:val="both"/>
      </w:pPr>
      <w:r>
        <w:rPr/>
        <w:t xml:space="preserve"/>
      </w:r>
    </w:p>
    <w:p>
      <w:pPr>
        <w:jc w:val="both"/>
      </w:pPr>
      <w:r>
        <w:rPr/>
        <w:t xml:space="preserve">5. 未探索反驳：本文没有探讨与其观点相反或竞争性观点，并未提供任何反驳或讨论。</w:t>
      </w:r>
    </w:p>
    <w:p>
      <w:pPr>
        <w:jc w:val="both"/>
      </w:pPr>
      <w:r>
        <w:rPr/>
        <w:t xml:space="preserve"/>
      </w:r>
    </w:p>
    <w:p>
      <w:pPr>
        <w:jc w:val="both"/>
      </w:pPr>
      <w:r>
        <w:rPr/>
        <w:t xml:space="preserve">6. 宣传内容：本文中提到的ATENA、ANSYS和Abaqus等有限元代码被多次提及，这可能会使读者误以为这些代码是最好的选择，而忽略了其他可能更适合特定应用场景的工具。</w:t>
      </w:r>
    </w:p>
    <w:p>
      <w:pPr>
        <w:jc w:val="both"/>
      </w:pPr>
      <w:r>
        <w:rPr/>
        <w:t xml:space="preserve"/>
      </w:r>
    </w:p>
    <w:p>
      <w:pPr>
        <w:jc w:val="both"/>
      </w:pPr>
      <w:r>
        <w:rPr/>
        <w:t xml:space="preserve">7. 偏袒：本文只关注混凝土之间的界面，而未考虑其他建筑材料之间的界面。这可能会导致读者对该领域整体情况的理解不足。</w:t>
      </w:r>
    </w:p>
    <w:p>
      <w:pPr>
        <w:jc w:val="both"/>
      </w:pPr>
      <w:r>
        <w:rPr/>
        <w:t xml:space="preserve"/>
      </w:r>
    </w:p>
    <w:p>
      <w:pPr>
        <w:jc w:val="both"/>
      </w:pPr>
      <w:r>
        <w:rPr/>
        <w:t xml:space="preserve">综上所述，本文存在一些问题，需要更全面地考虑混凝土界面数值模拟在实际应用中可能遇到的问题，并探讨与其观点相反或竞争性观点。同时，作者需要提供更多证据来支持其主张，并平等地呈现双方。</w:t>
      </w:r>
    </w:p>
    <w:p>
      <w:pPr>
        <w:pStyle w:val="Heading1"/>
      </w:pPr>
      <w:bookmarkStart w:id="5" w:name="_Toc5"/>
      <w:r>
        <w:t>Topics for further research:</w:t>
      </w:r>
      <w:bookmarkEnd w:id="5"/>
    </w:p>
    <w:p>
      <w:pPr>
        <w:spacing w:after="0"/>
        <w:numPr>
          <w:ilvl w:val="0"/>
          <w:numId w:val="2"/>
        </w:numPr>
      </w:pPr>
      <w:r>
        <w:rPr/>
        <w:t xml:space="preserve">Other building materials interface
</w:t>
      </w:r>
    </w:p>
    <w:p>
      <w:pPr>
        <w:spacing w:after="0"/>
        <w:numPr>
          <w:ilvl w:val="0"/>
          <w:numId w:val="2"/>
        </w:numPr>
      </w:pPr>
      <w:r>
        <w:rPr/>
        <w:t xml:space="preserve">Other numerical simulation methods
</w:t>
      </w:r>
    </w:p>
    <w:p>
      <w:pPr>
        <w:spacing w:after="0"/>
        <w:numPr>
          <w:ilvl w:val="0"/>
          <w:numId w:val="2"/>
        </w:numPr>
      </w:pPr>
      <w:r>
        <w:rPr/>
        <w:t xml:space="preserve">Practical application challenges
</w:t>
      </w:r>
    </w:p>
    <w:p>
      <w:pPr>
        <w:spacing w:after="0"/>
        <w:numPr>
          <w:ilvl w:val="0"/>
          <w:numId w:val="2"/>
        </w:numPr>
      </w:pPr>
      <w:r>
        <w:rPr/>
        <w:t xml:space="preserve">Evidence to support claims
</w:t>
      </w:r>
    </w:p>
    <w:p>
      <w:pPr>
        <w:spacing w:after="0"/>
        <w:numPr>
          <w:ilvl w:val="0"/>
          <w:numId w:val="2"/>
        </w:numPr>
      </w:pPr>
      <w:r>
        <w:rPr/>
        <w:t xml:space="preserve">Counterarguments and discussions
</w:t>
      </w:r>
    </w:p>
    <w:p>
      <w:pPr>
        <w:numPr>
          <w:ilvl w:val="0"/>
          <w:numId w:val="2"/>
        </w:numPr>
      </w:pPr>
      <w:r>
        <w:rPr/>
        <w:t xml:space="preserve">Alternative tools for simulation</w:t>
      </w:r>
    </w:p>
    <w:p>
      <w:pPr>
        <w:pStyle w:val="Heading1"/>
      </w:pPr>
      <w:bookmarkStart w:id="6" w:name="_Toc6"/>
      <w:r>
        <w:t>Report location:</w:t>
      </w:r>
      <w:bookmarkEnd w:id="6"/>
    </w:p>
    <w:p>
      <w:hyperlink r:id="rId8" w:history="1">
        <w:r>
          <w:rPr>
            <w:color w:val="2980b9"/>
            <w:u w:val="single"/>
          </w:rPr>
          <w:t xml:space="preserve">https://www.fullpicture.app/item/2e547c99736fc865346e0d58b64cea7a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CC7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944/14/23/7204" TargetMode="External"/><Relationship Id="rId8" Type="http://schemas.openxmlformats.org/officeDocument/2006/relationships/hyperlink" Target="https://www.fullpicture.app/item/2e547c99736fc865346e0d58b64ce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2023-12-27T19:37:09+01:00</dcterms:created>
  <dcterms:modified xsi:type="dcterms:W3CDTF">2023-12-27T19:37:09+01:00</dcterms:modified>
</cp:coreProperties>
</file>

<file path=docProps/custom.xml><?xml version="1.0" encoding="utf-8"?>
<Properties xmlns="http://schemas.openxmlformats.org/officeDocument/2006/custom-properties" xmlns:vt="http://schemas.openxmlformats.org/officeDocument/2006/docPropsVTypes"/>
</file>