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Fitch Affirms Commercial Bank of Dubai at 'A-'; Outlook Stable</w:t>
      </w:r>
      <w:br/>
      <w:hyperlink r:id="rId7" w:history="1">
        <w:r>
          <w:rPr>
            <w:color w:val="2980b9"/>
            <w:u w:val="single"/>
          </w:rPr>
          <w:t xml:space="preserve">https://www.fitchratings.com/research/banks/fitch-affirms-commercial-bank-of-dubai-at-a-outlook-stable-03-04-2023</w:t>
        </w:r>
      </w:hyperlink>
    </w:p>
    <w:p>
      <w:pPr>
        <w:pStyle w:val="Heading1"/>
      </w:pPr>
      <w:bookmarkStart w:id="2" w:name="_Toc2"/>
      <w:r>
        <w:t>Article summary:</w:t>
      </w:r>
      <w:bookmarkEnd w:id="2"/>
    </w:p>
    <w:p>
      <w:pPr>
        <w:jc w:val="both"/>
      </w:pPr>
      <w:r>
        <w:rPr/>
        <w:t xml:space="preserve">1. Fitch Ratings has affirmed Commercial Bank of Dubai's Long-Term Issuer Default Rating (IDR) at 'A-' with a Stable Outlook and Viability Rating (VR) at 'bb+'.</w:t>
      </w:r>
    </w:p>
    <w:p>
      <w:pPr>
        <w:jc w:val="both"/>
      </w:pPr>
      <w:r>
        <w:rPr/>
        <w:t xml:space="preserve">2. CBD's IDRs are driven by potential support from the UAE authorities, reflecting the UAE's strong capacity to support the banking system and its long record of support for domestic banks.</w:t>
      </w:r>
    </w:p>
    <w:p>
      <w:pPr>
        <w:jc w:val="both"/>
      </w:pPr>
      <w:r>
        <w:rPr/>
        <w:t xml:space="preserve">3. The bank has a moderate niche franchise, high loan concentrations, only adequate capitalisation, stable loan quality, recovering profitability, and stable funding.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Commercial Bank of Dubai's credit rating, highlighting its strengths and weaknesses. However, there are some potential biases in the report that need to be considered.</w:t>
      </w:r>
    </w:p>
    <w:p>
      <w:pPr>
        <w:jc w:val="both"/>
      </w:pPr>
      <w:r>
        <w:rPr/>
        <w:t xml:space="preserve"/>
      </w:r>
    </w:p>
    <w:p>
      <w:pPr>
        <w:jc w:val="both"/>
      </w:pPr>
      <w:r>
        <w:rPr/>
        <w:t xml:space="preserve">One-sided reporting: The article focuses primarily on the positive aspects of CBD's credit rating, such as its stable funding and recovering profitability. While it does mention some potential risks, such as high loan concentrations and pressure on loan quality from higher interest rates, these are not explored in depth.</w:t>
      </w:r>
    </w:p>
    <w:p>
      <w:pPr>
        <w:jc w:val="both"/>
      </w:pPr>
      <w:r>
        <w:rPr/>
        <w:t xml:space="preserve"/>
      </w:r>
    </w:p>
    <w:p>
      <w:pPr>
        <w:jc w:val="both"/>
      </w:pPr>
      <w:r>
        <w:rPr/>
        <w:t xml:space="preserve">Unsupported claims: The article states that Fitch expects operating conditions to remain solid for UAE banks in 2023 but does not provide any evidence or reasoning to support this claim.</w:t>
      </w:r>
    </w:p>
    <w:p>
      <w:pPr>
        <w:jc w:val="both"/>
      </w:pPr>
      <w:r>
        <w:rPr/>
        <w:t xml:space="preserve"/>
      </w:r>
    </w:p>
    <w:p>
      <w:pPr>
        <w:jc w:val="both"/>
      </w:pPr>
      <w:r>
        <w:rPr/>
        <w:t xml:space="preserve">Missing points of consideration: The article does not consider the impact of geopolitical risks on CBD's credit rating. Given Dubai's location in a volatile region, this is an important factor that should be taken into account.</w:t>
      </w:r>
    </w:p>
    <w:p>
      <w:pPr>
        <w:jc w:val="both"/>
      </w:pPr>
      <w:r>
        <w:rPr/>
        <w:t xml:space="preserve"/>
      </w:r>
    </w:p>
    <w:p>
      <w:pPr>
        <w:jc w:val="both"/>
      </w:pPr>
      <w:r>
        <w:rPr/>
        <w:t xml:space="preserve">Unexplored counterarguments: The article does not explore any potential counterarguments to its analysis. For example, it does not consider the possibility that CBD's niche franchise could limit its ability to compete with larger banks in the UAE market.</w:t>
      </w:r>
    </w:p>
    <w:p>
      <w:pPr>
        <w:jc w:val="both"/>
      </w:pPr>
      <w:r>
        <w:rPr/>
        <w:t xml:space="preserve"/>
      </w:r>
    </w:p>
    <w:p>
      <w:pPr>
        <w:jc w:val="both"/>
      </w:pPr>
      <w:r>
        <w:rPr/>
        <w:t xml:space="preserve">Promotional content: The article includes some promotional content for CBD, such as highlighting its well-entrenched corporate banking business. While this information is relevant to understanding CBD's credit rating, it could also be seen as biased towards promoting the bank.</w:t>
      </w:r>
    </w:p>
    <w:p>
      <w:pPr>
        <w:jc w:val="both"/>
      </w:pPr>
      <w:r>
        <w:rPr/>
        <w:t xml:space="preserve"/>
      </w:r>
    </w:p>
    <w:p>
      <w:pPr>
        <w:jc w:val="both"/>
      </w:pPr>
      <w:r>
        <w:rPr/>
        <w:t xml:space="preserve">Partiality: The article appears to be partial towards CBD by focusing primarily on its strengths and downplaying potential risks. This could be due to Fitch's relationship with the bank or other factors.</w:t>
      </w:r>
    </w:p>
    <w:p>
      <w:pPr>
        <w:jc w:val="both"/>
      </w:pPr>
      <w:r>
        <w:rPr/>
        <w:t xml:space="preserve"/>
      </w:r>
    </w:p>
    <w:p>
      <w:pPr>
        <w:jc w:val="both"/>
      </w:pPr>
      <w:r>
        <w:rPr/>
        <w:t xml:space="preserve">Overall, while the article provides useful information about CBD's credit rating, readers should approach it with a critical eye and consider potential biases and missing information.</w:t>
      </w:r>
    </w:p>
    <w:p>
      <w:pPr>
        <w:pStyle w:val="Heading1"/>
      </w:pPr>
      <w:bookmarkStart w:id="5" w:name="_Toc5"/>
      <w:r>
        <w:t>Topics for further research:</w:t>
      </w:r>
      <w:bookmarkEnd w:id="5"/>
    </w:p>
    <w:p>
      <w:pPr>
        <w:spacing w:after="0"/>
        <w:numPr>
          <w:ilvl w:val="0"/>
          <w:numId w:val="2"/>
        </w:numPr>
      </w:pPr>
      <w:r>
        <w:rPr/>
        <w:t xml:space="preserve">Geopolitical risks in Dubai banking industry
</w:t>
      </w:r>
    </w:p>
    <w:p>
      <w:pPr>
        <w:spacing w:after="0"/>
        <w:numPr>
          <w:ilvl w:val="0"/>
          <w:numId w:val="2"/>
        </w:numPr>
      </w:pPr>
      <w:r>
        <w:rPr/>
        <w:t xml:space="preserve">Competition among UAE banks
</w:t>
      </w:r>
    </w:p>
    <w:p>
      <w:pPr>
        <w:spacing w:after="0"/>
        <w:numPr>
          <w:ilvl w:val="0"/>
          <w:numId w:val="2"/>
        </w:numPr>
      </w:pPr>
      <w:r>
        <w:rPr/>
        <w:t xml:space="preserve">CBD's loan portfolio diversification
</w:t>
      </w:r>
    </w:p>
    <w:p>
      <w:pPr>
        <w:spacing w:after="0"/>
        <w:numPr>
          <w:ilvl w:val="0"/>
          <w:numId w:val="2"/>
        </w:numPr>
      </w:pPr>
      <w:r>
        <w:rPr/>
        <w:t xml:space="preserve">Impact of interest rate fluctuations on CBD's loan quality
</w:t>
      </w:r>
    </w:p>
    <w:p>
      <w:pPr>
        <w:spacing w:after="0"/>
        <w:numPr>
          <w:ilvl w:val="0"/>
          <w:numId w:val="2"/>
        </w:numPr>
      </w:pPr>
      <w:r>
        <w:rPr/>
        <w:t xml:space="preserve">CBD's exposure to real estate market risks
</w:t>
      </w:r>
    </w:p>
    <w:p>
      <w:pPr>
        <w:numPr>
          <w:ilvl w:val="0"/>
          <w:numId w:val="2"/>
        </w:numPr>
      </w:pPr>
      <w:r>
        <w:rPr/>
        <w:t xml:space="preserve">CBD's digital banking strategy and innovation initiatives</w:t>
      </w:r>
    </w:p>
    <w:p>
      <w:pPr>
        <w:pStyle w:val="Heading1"/>
      </w:pPr>
      <w:bookmarkStart w:id="6" w:name="_Toc6"/>
      <w:r>
        <w:t>Report location:</w:t>
      </w:r>
      <w:bookmarkEnd w:id="6"/>
    </w:p>
    <w:p>
      <w:hyperlink r:id="rId8" w:history="1">
        <w:r>
          <w:rPr>
            <w:color w:val="2980b9"/>
            <w:u w:val="single"/>
          </w:rPr>
          <w:t xml:space="preserve">https://www.fullpicture.app/item/2e21e6d55692f9a6302c477649b21a66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4C7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tchratings.com/research/banks/fitch-affirms-commercial-bank-of-dubai-at-a-outlook-stable-03-04-2023" TargetMode="External"/><Relationship Id="rId8" Type="http://schemas.openxmlformats.org/officeDocument/2006/relationships/hyperlink" Target="https://www.fullpicture.app/item/2e21e6d55692f9a6302c477649b21a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2023-12-10T16:54:06+01:00</dcterms:created>
  <dcterms:modified xsi:type="dcterms:W3CDTF">2023-12-10T16:54:06+01:00</dcterms:modified>
</cp:coreProperties>
</file>

<file path=docProps/custom.xml><?xml version="1.0" encoding="utf-8"?>
<Properties xmlns="http://schemas.openxmlformats.org/officeDocument/2006/custom-properties" xmlns:vt="http://schemas.openxmlformats.org/officeDocument/2006/docPropsVTypes"/>
</file>