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Connected Funds | The Review of Financial Studies | Oxford Academic</w:t>
      </w:r>
      <w:br/>
      <w:hyperlink r:id="rId7" w:history="1">
        <w:r>
          <w:rPr>
            <w:color w:val="2980b9"/>
            <w:u w:val="single"/>
          </w:rPr>
          <w:t xml:space="preserve">https://academic.oup.com/rfs/article/36/11/4546/7135862?login=true</w:t>
        </w:r>
      </w:hyperlink>
    </w:p>
    <w:p>
      <w:pPr>
        <w:pStyle w:val="Heading1"/>
      </w:pPr>
      <w:bookmarkStart w:id="2" w:name="_Toc2"/>
      <w:r>
        <w:t>Article summary:</w:t>
      </w:r>
      <w:bookmarkEnd w:id="2"/>
    </w:p>
    <w:p>
      <w:pPr>
        <w:jc w:val="both"/>
      </w:pPr>
      <w:r>
        <w:rPr/>
        <w:t xml:space="preserve">1. 交叉基金投资在德国基金行业中变得越来越重要，但在2020年3月期间遭到大量清算，并显示出可测量的传染效应。</w:t>
      </w:r>
    </w:p>
    <w:p>
      <w:pPr>
        <w:jc w:val="both"/>
      </w:pPr>
      <w:r>
        <w:rPr/>
        <w:t xml:space="preserve">2. 基金之间的交叉投资可能会提高结构性基金行业的脆弱性。</w:t>
      </w:r>
    </w:p>
    <w:p>
      <w:pPr>
        <w:jc w:val="both"/>
      </w:pPr>
      <w:r>
        <w:rPr/>
        <w:t xml:space="preserve">3. 文章首次分析了基金之间的交叉持股和清算对金融稳定性的影响，并发现这种连结可能会加剧和重新分配火卖风险。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这篇文章主要探讨了互联基金投资的经济学和其对金融稳定性的影响。然而，文章存在一些潜在的偏见和不足之处。</w:t>
      </w:r>
    </w:p>
    <w:p>
      <w:pPr>
        <w:jc w:val="both"/>
      </w:pPr>
      <w:r>
        <w:rPr/>
        <w:t xml:space="preserve"/>
      </w:r>
    </w:p>
    <w:p>
      <w:pPr>
        <w:jc w:val="both"/>
      </w:pPr>
      <w:r>
        <w:rPr/>
        <w:t xml:space="preserve">首先，文章提到了互联基金投资在德国基金行业中变得越来越重要，但没有提供更多关于为什么会出现这种趋势的解释。作者没有深入分析背后的原因，例如市场需求、投资策略或监管政策等因素。这导致读者无法全面理解互联基金投资的动机和影响。</w:t>
      </w:r>
    </w:p>
    <w:p>
      <w:pPr>
        <w:jc w:val="both"/>
      </w:pPr>
      <w:r>
        <w:rPr/>
        <w:t xml:space="preserve"/>
      </w:r>
    </w:p>
    <w:p>
      <w:pPr>
        <w:jc w:val="both"/>
      </w:pPr>
      <w:r>
        <w:rPr/>
        <w:t xml:space="preserve">其次，文章声称互联基金投资在2020年3月遭到大规模清算，并显示出可观的传染效应。然而，文章没有提供具体数据或详细分析来支持这一主张。读者无法确定这些结论是否真实可靠。</w:t>
      </w:r>
    </w:p>
    <w:p>
      <w:pPr>
        <w:jc w:val="both"/>
      </w:pPr>
      <w:r>
        <w:rPr/>
        <w:t xml:space="preserve"/>
      </w:r>
    </w:p>
    <w:p>
      <w:pPr>
        <w:jc w:val="both"/>
      </w:pPr>
      <w:r>
        <w:rPr/>
        <w:t xml:space="preserve">此外，文章忽视了其他可能对基金行业稳定性产生影响的因素。例如，它没有考虑到市场流动性风险、管理公司风险管理能力、监管政策等方面的因素。这种片面报道可能导致读者对整个问题的理解不完整。</w:t>
      </w:r>
    </w:p>
    <w:p>
      <w:pPr>
        <w:jc w:val="both"/>
      </w:pPr>
      <w:r>
        <w:rPr/>
        <w:t xml:space="preserve"/>
      </w:r>
    </w:p>
    <w:p>
      <w:pPr>
        <w:jc w:val="both"/>
      </w:pPr>
      <w:r>
        <w:rPr/>
        <w:t xml:space="preserve">另外，文章未提及任何可能存在的反驳观点或质疑该研究结果的证据。这种缺乏对立观点的探讨可能使读者无法全面评估该研究的可靠性和适用性。</w:t>
      </w:r>
    </w:p>
    <w:p>
      <w:pPr>
        <w:jc w:val="both"/>
      </w:pPr>
      <w:r>
        <w:rPr/>
        <w:t xml:space="preserve"/>
      </w:r>
    </w:p>
    <w:p>
      <w:pPr>
        <w:jc w:val="both"/>
      </w:pPr>
      <w:r>
        <w:rPr/>
        <w:t xml:space="preserve">最后，文章没有充分考虑到互联基金投资可能带来的风险。它没有提及潜在的系统性风险、流动性冲击或市场不稳定等问题。这种偏袒可能导致读者对互联基金投资的潜在风险缺乏足够的认识。</w:t>
      </w:r>
    </w:p>
    <w:p>
      <w:pPr>
        <w:jc w:val="both"/>
      </w:pPr>
      <w:r>
        <w:rPr/>
        <w:t xml:space="preserve"/>
      </w:r>
    </w:p>
    <w:p>
      <w:pPr>
        <w:jc w:val="both"/>
      </w:pPr>
      <w:r>
        <w:rPr/>
        <w:t xml:space="preserve">综上所述，这篇文章存在一些潜在的偏见和不足之处。它未能提供充分的解释和证据来支持其主张，并忽视了其他可能影响基金行业稳定性的因素。读者应该保持批判思维，并寻找更多信息来全面评估该问题。</w:t>
      </w:r>
    </w:p>
    <w:p>
      <w:pPr>
        <w:pStyle w:val="Heading1"/>
      </w:pPr>
      <w:bookmarkStart w:id="5" w:name="_Toc5"/>
      <w:r>
        <w:t>Topics for further research:</w:t>
      </w:r>
      <w:bookmarkEnd w:id="5"/>
    </w:p>
    <w:p>
      <w:pPr>
        <w:spacing w:after="0"/>
        <w:numPr>
          <w:ilvl w:val="0"/>
          <w:numId w:val="2"/>
        </w:numPr>
      </w:pPr>
      <w:r>
        <w:rPr/>
        <w:t xml:space="preserve">互联基金投资的动机和影响
</w:t>
      </w:r>
    </w:p>
    <w:p>
      <w:pPr>
        <w:spacing w:after="0"/>
        <w:numPr>
          <w:ilvl w:val="0"/>
          <w:numId w:val="2"/>
        </w:numPr>
      </w:pPr>
      <w:r>
        <w:rPr/>
        <w:t xml:space="preserve">互联基金投资在2020年3月的清算情况和传染效应
</w:t>
      </w:r>
    </w:p>
    <w:p>
      <w:pPr>
        <w:spacing w:after="0"/>
        <w:numPr>
          <w:ilvl w:val="0"/>
          <w:numId w:val="2"/>
        </w:numPr>
      </w:pPr>
      <w:r>
        <w:rPr/>
        <w:t xml:space="preserve">其他可能影响基金行业稳定性的因素
</w:t>
      </w:r>
    </w:p>
    <w:p>
      <w:pPr>
        <w:spacing w:after="0"/>
        <w:numPr>
          <w:ilvl w:val="0"/>
          <w:numId w:val="2"/>
        </w:numPr>
      </w:pPr>
      <w:r>
        <w:rPr/>
        <w:t xml:space="preserve">反驳观点和质疑研究结果的证据
</w:t>
      </w:r>
    </w:p>
    <w:p>
      <w:pPr>
        <w:spacing w:after="0"/>
        <w:numPr>
          <w:ilvl w:val="0"/>
          <w:numId w:val="2"/>
        </w:numPr>
      </w:pPr>
      <w:r>
        <w:rPr/>
        <w:t xml:space="preserve">互联基金投资可能带来的风险
</w:t>
      </w:r>
    </w:p>
    <w:p>
      <w:pPr>
        <w:numPr>
          <w:ilvl w:val="0"/>
          <w:numId w:val="2"/>
        </w:numPr>
      </w:pPr>
      <w:r>
        <w:rPr/>
        <w:t xml:space="preserve">寻找更多信息来全面评估该问题</w:t>
      </w:r>
    </w:p>
    <w:p>
      <w:pPr>
        <w:pStyle w:val="Heading1"/>
      </w:pPr>
      <w:bookmarkStart w:id="6" w:name="_Toc6"/>
      <w:r>
        <w:t>Report location:</w:t>
      </w:r>
      <w:bookmarkEnd w:id="6"/>
    </w:p>
    <w:p>
      <w:hyperlink r:id="rId8" w:history="1">
        <w:r>
          <w:rPr>
            <w:color w:val="2980b9"/>
            <w:u w:val="single"/>
          </w:rPr>
          <w:t xml:space="preserve">https://www.fullpicture.app/item/2d11e594242a3b944a9562abf3549ea4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6F79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rfs/article/36/11/4546/7135862?login=true" TargetMode="External"/><Relationship Id="rId8" Type="http://schemas.openxmlformats.org/officeDocument/2006/relationships/hyperlink" Target="https://www.fullpicture.app/item/2d11e594242a3b944a9562abf3549e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2024-07-09T07:46:20+02:00</dcterms:created>
  <dcterms:modified xsi:type="dcterms:W3CDTF">2024-07-09T07:46:20+02:00</dcterms:modified>
</cp:coreProperties>
</file>

<file path=docProps/custom.xml><?xml version="1.0" encoding="utf-8"?>
<Properties xmlns="http://schemas.openxmlformats.org/officeDocument/2006/custom-properties" xmlns:vt="http://schemas.openxmlformats.org/officeDocument/2006/docPropsVTypes"/>
</file>