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货币政策对伊斯兰银行融资的影响：来自马来西亚的银行层面证据 |翡翠洞察</w:t>
      </w:r>
      <w:br/>
      <w:hyperlink r:id="rId7" w:history="1">
        <w:r>
          <w:rPr>
            <w:color w:val="2980b9"/>
            <w:u w:val="single"/>
          </w:rPr>
          <w:t xml:space="preserve">https://www.emerald.com/insight/content/doi/10.1108/JEFAS-01-2018-0011/full/html</w:t>
        </w:r>
      </w:hyperlink>
    </w:p>
    <w:p>
      <w:pPr>
        <w:pStyle w:val="Heading1"/>
      </w:pPr>
      <w:bookmarkStart w:id="2" w:name="_Toc2"/>
      <w:r>
        <w:t>Article summary:</w:t>
      </w:r>
      <w:bookmarkEnd w:id="2"/>
    </w:p>
    <w:p>
      <w:pPr>
        <w:jc w:val="both"/>
      </w:pPr>
      <w:r>
        <w:rPr/>
        <w:t xml:space="preserve">1. 本文研究了马来西亚伊斯兰银行融资响应对融资利率的不同银行特定特征的分布差异，以及伊斯兰银行如何有效地履行其作为企业和企业家资本提供者的角色。</w:t>
      </w:r>
    </w:p>
    <w:p>
      <w:pPr>
        <w:jc w:val="both"/>
      </w:pPr>
      <w:r>
        <w:rPr/>
        <w:t xml:space="preserve">2. 研究发现，银行规模、流动性和资本水平等特征在决定伊斯兰融资行为方面很重要。此外，在货币政策变化方面，伊斯兰银行融资与传统银行贷款行为没有显着差异。</w:t>
      </w:r>
    </w:p>
    <w:p>
      <w:pPr>
        <w:jc w:val="both"/>
      </w:pPr>
      <w:r>
        <w:rPr/>
        <w:t xml:space="preserve">3. 文章指出，必须处理和解决与伊斯兰融资工具、金融市场和规章有关的许多问题和挑战。建议伊斯兰银行集中更多精力开发损益分享工具。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该文章提出了研究货币政策对伊斯兰银行融资的影响的问题，并使用面板回归方法进行分析。然而，该文章存在一些潜在偏见和不足之处。</w:t>
      </w:r>
    </w:p>
    <w:p>
      <w:pPr>
        <w:jc w:val="both"/>
      </w:pPr>
      <w:r>
        <w:rPr/>
        <w:t xml:space="preserve"/>
      </w:r>
    </w:p>
    <w:p>
      <w:pPr>
        <w:jc w:val="both"/>
      </w:pPr>
      <w:r>
        <w:rPr/>
        <w:t xml:space="preserve">首先，该文章没有考虑到可能存在的风险因素。伊斯兰银行与传统银行不同，其融资工具基于损益分享而非债务。这种模式可能会导致更高的风险，但是该文章并未探讨这个问题。</w:t>
      </w:r>
    </w:p>
    <w:p>
      <w:pPr>
        <w:jc w:val="both"/>
      </w:pPr>
      <w:r>
        <w:rPr/>
        <w:t xml:space="preserve"/>
      </w:r>
    </w:p>
    <w:p>
      <w:pPr>
        <w:jc w:val="both"/>
      </w:pPr>
      <w:r>
        <w:rPr/>
        <w:t xml:space="preserve">其次，该文章没有平等地呈现双方。它只关注了伊斯兰银行的特定特征和货币政策对其融资的影响，而忽略了传统银行可能存在的类似问题。</w:t>
      </w:r>
    </w:p>
    <w:p>
      <w:pPr>
        <w:jc w:val="both"/>
      </w:pPr>
      <w:r>
        <w:rPr/>
        <w:t xml:space="preserve"/>
      </w:r>
    </w:p>
    <w:p>
      <w:pPr>
        <w:jc w:val="both"/>
      </w:pPr>
      <w:r>
        <w:rPr/>
        <w:t xml:space="preserve">此外，该文章提出了一个主张，即如果伊斯兰银行不再开发基于债务的工具，而是集中更多精力开发损益分享工具，则将是一个好主意。然而，该主张缺乏证据支持，并且没有考虑到市场需求和竞争环境等因素。</w:t>
      </w:r>
    </w:p>
    <w:p>
      <w:pPr>
        <w:jc w:val="both"/>
      </w:pPr>
      <w:r>
        <w:rPr/>
        <w:t xml:space="preserve"/>
      </w:r>
    </w:p>
    <w:p>
      <w:pPr>
        <w:jc w:val="both"/>
      </w:pPr>
      <w:r>
        <w:rPr/>
        <w:t xml:space="preserve">最后，该文章可能存在片面报道和宣传内容。由于作者没有提供足够的数据和证据来支持他们的结论，读者需要谨慎评估该文章的可信度。</w:t>
      </w:r>
    </w:p>
    <w:p>
      <w:pPr>
        <w:jc w:val="both"/>
      </w:pPr>
      <w:r>
        <w:rPr/>
        <w:t xml:space="preserve"/>
      </w:r>
    </w:p>
    <w:p>
      <w:pPr>
        <w:jc w:val="both"/>
      </w:pPr>
      <w:r>
        <w:rPr/>
        <w:t xml:space="preserve">综上所述，该文章提出了一个重要问题，但存在一些潜在偏见和不足之处。读者需要谨慎评估其结论，并寻找更多的证据来支持或反驳这些结论。</w:t>
      </w:r>
    </w:p>
    <w:p>
      <w:pPr>
        <w:pStyle w:val="Heading1"/>
      </w:pPr>
      <w:bookmarkStart w:id="5" w:name="_Toc5"/>
      <w:r>
        <w:t>Topics for further research:</w:t>
      </w:r>
      <w:bookmarkEnd w:id="5"/>
    </w:p>
    <w:p>
      <w:pPr>
        <w:spacing w:after="0"/>
        <w:numPr>
          <w:ilvl w:val="0"/>
          <w:numId w:val="2"/>
        </w:numPr>
      </w:pPr>
      <w:r>
        <w:rPr/>
        <w:t xml:space="preserve">Risk factors in Islamic banking financing
</w:t>
      </w:r>
    </w:p>
    <w:p>
      <w:pPr>
        <w:spacing w:after="0"/>
        <w:numPr>
          <w:ilvl w:val="0"/>
          <w:numId w:val="2"/>
        </w:numPr>
      </w:pPr>
      <w:r>
        <w:rPr/>
        <w:t xml:space="preserve">Comparison between Islamic and traditional banking
</w:t>
      </w:r>
    </w:p>
    <w:p>
      <w:pPr>
        <w:spacing w:after="0"/>
        <w:numPr>
          <w:ilvl w:val="0"/>
          <w:numId w:val="2"/>
        </w:numPr>
      </w:pPr>
      <w:r>
        <w:rPr/>
        <w:t xml:space="preserve">Potential biases in the article's analysis
</w:t>
      </w:r>
    </w:p>
    <w:p>
      <w:pPr>
        <w:spacing w:after="0"/>
        <w:numPr>
          <w:ilvl w:val="0"/>
          <w:numId w:val="2"/>
        </w:numPr>
      </w:pPr>
      <w:r>
        <w:rPr/>
        <w:t xml:space="preserve">Market demand and competition in Islamic banking
</w:t>
      </w:r>
    </w:p>
    <w:p>
      <w:pPr>
        <w:spacing w:after="0"/>
        <w:numPr>
          <w:ilvl w:val="0"/>
          <w:numId w:val="2"/>
        </w:numPr>
      </w:pPr>
      <w:r>
        <w:rPr/>
        <w:t xml:space="preserve">Lack of evidence to support the article's claims
</w:t>
      </w:r>
    </w:p>
    <w:p>
      <w:pPr>
        <w:numPr>
          <w:ilvl w:val="0"/>
          <w:numId w:val="2"/>
        </w:numPr>
      </w:pPr>
      <w:r>
        <w:rPr/>
        <w:t xml:space="preserve">Need for further research and evaluation of the article's conclusions</w:t>
      </w:r>
    </w:p>
    <w:p>
      <w:pPr>
        <w:pStyle w:val="Heading1"/>
      </w:pPr>
      <w:bookmarkStart w:id="6" w:name="_Toc6"/>
      <w:r>
        <w:t>Report location:</w:t>
      </w:r>
      <w:bookmarkEnd w:id="6"/>
    </w:p>
    <w:p>
      <w:hyperlink r:id="rId8" w:history="1">
        <w:r>
          <w:rPr>
            <w:color w:val="2980b9"/>
            <w:u w:val="single"/>
          </w:rPr>
          <w:t xml:space="preserve">https://www.fullpicture.app/item/2cf4d525b979683e8ae821ce73ca46ed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65D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JEFAS-01-2018-0011/full/html" TargetMode="External"/><Relationship Id="rId8" Type="http://schemas.openxmlformats.org/officeDocument/2006/relationships/hyperlink" Target="https://www.fullpicture.app/item/2cf4d525b979683e8ae821ce73ca46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2023-05-24T10:27:52+02:00</dcterms:created>
  <dcterms:modified xsi:type="dcterms:W3CDTF">2023-05-24T10:27:52+02:00</dcterms:modified>
</cp:coreProperties>
</file>

<file path=docProps/custom.xml><?xml version="1.0" encoding="utf-8"?>
<Properties xmlns="http://schemas.openxmlformats.org/officeDocument/2006/custom-properties" xmlns:vt="http://schemas.openxmlformats.org/officeDocument/2006/docPropsVTypes"/>
</file>