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iconic gestures and mouth movements in face-to-face communication | SpringerLink</w:t>
      </w:r>
      <w:br/>
      <w:hyperlink r:id="rId7" w:history="1">
        <w:r>
          <w:rPr>
            <w:color w:val="2980b9"/>
            <w:u w:val="single"/>
          </w:rPr>
          <w:t xml:space="preserve">https://link.springer.com/article/10.3758/s13423-021-02009-5</w:t>
        </w:r>
      </w:hyperlink>
    </w:p>
    <w:p>
      <w:pPr>
        <w:pStyle w:val="Heading1"/>
      </w:pPr>
      <w:bookmarkStart w:id="2" w:name="_Toc2"/>
      <w:r>
        <w:t>Article summary:</w:t>
      </w:r>
      <w:bookmarkEnd w:id="2"/>
    </w:p>
    <w:p>
      <w:pPr>
        <w:jc w:val="both"/>
      </w:pPr>
      <w:r>
        <w:rPr/>
        <w:t xml:space="preserve">1. Iconic gestures and mouth movements play important roles in face-to-face communication, aiding speech recognition under clear and distorted listening conditions.</w:t>
      </w:r>
    </w:p>
    <w:p>
      <w:pPr>
        <w:jc w:val="both"/>
      </w:pPr>
      <w:r>
        <w:rPr/>
        <w:t xml:space="preserve">2. Iconic gestures are processed automatically and can enhance semantic activation, while mouth movements primarily aid in decoding phonological information.</w:t>
      </w:r>
    </w:p>
    <w:p>
      <w:pPr>
        <w:jc w:val="both"/>
      </w:pPr>
      <w:r>
        <w:rPr/>
        <w:t xml:space="preserve">3. Previous studies have mostly looked at the impact of one visual cue at a time, but a handful have investigated both gestures and mouth movements together.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role of iconic gestures and mouth movements in face-to-face communication" provides an overview of the impact of visual cues, specifically iconic gestures and mouth movements, on spoken word recognition in face-to-face communication. While the article presents a comprehensive review of previous research on the topic, there are some potential biases and limitations to consider.</w:t>
      </w:r>
    </w:p>
    <w:p>
      <w:pPr>
        <w:jc w:val="both"/>
      </w:pPr>
      <w:r>
        <w:rPr/>
        <w:t xml:space="preserve"/>
      </w:r>
    </w:p>
    <w:p>
      <w:pPr>
        <w:jc w:val="both"/>
      </w:pPr>
      <w:r>
        <w:rPr/>
        <w:t xml:space="preserve">One potential bias is that the article focuses primarily on studies conducted in English-speaking populations. This limits the generalizability of the findings to other languages and cultures, which may have different norms for gesturing and facial expressions. Additionally, while the article acknowledges that iconic gestures can be misleading or incongruent with speech, it does not explore how this might affect comprehension or whether certain types of listeners (e.g., those with cognitive or language impairments) might be more susceptible to confusion.</w:t>
      </w:r>
    </w:p>
    <w:p>
      <w:pPr>
        <w:jc w:val="both"/>
      </w:pPr>
      <w:r>
        <w:rPr/>
        <w:t xml:space="preserve"/>
      </w:r>
    </w:p>
    <w:p>
      <w:pPr>
        <w:jc w:val="both"/>
      </w:pPr>
      <w:r>
        <w:rPr/>
        <w:t xml:space="preserve">Another limitation is that the article primarily focuses on how visual cues aid speech recognition in adverse listening conditions (e.g., noisy environments). While this is an important area of study, it does not fully capture the complexity of face-to-face communication under normal circumstances. For example, people often use visual cues to convey emotional states or social intentions (e.g., nodding to indicate agreement), which may not directly relate to speech recognition but still play a crucial role in interpersonal communication.</w:t>
      </w:r>
    </w:p>
    <w:p>
      <w:pPr>
        <w:jc w:val="both"/>
      </w:pPr>
      <w:r>
        <w:rPr/>
        <w:t xml:space="preserve"/>
      </w:r>
    </w:p>
    <w:p>
      <w:pPr>
        <w:jc w:val="both"/>
      </w:pPr>
      <w:r>
        <w:rPr/>
        <w:t xml:space="preserve">The article also makes some unsupported claims about the automaticity of processing iconic gestures and mouth movements. While there is evidence that these cues are processed quickly and efficiently, it is unclear whether they are truly automatic or whether they require some degree of attentional resources. Additionally, while the article suggests that mouth movements primarily aid phonological decoding rather than semantic activation, this may oversimplify their role in speech perception. Recent research has shown that visible speech can also influence higher-level processes such as syntactic parsing and discourse comprehension.</w:t>
      </w:r>
    </w:p>
    <w:p>
      <w:pPr>
        <w:jc w:val="both"/>
      </w:pPr>
      <w:r>
        <w:rPr/>
        <w:t xml:space="preserve"/>
      </w:r>
    </w:p>
    <w:p>
      <w:pPr>
        <w:jc w:val="both"/>
      </w:pPr>
      <w:r>
        <w:rPr/>
        <w:t xml:space="preserve">Overall, while "The role of iconic gestures and mouth movements in face-to-face communication" provides a useful overview of the impact of visual cues on spoken word recognition, it is important to consider its potential biases and limitations. Future research should aim to explore the role of visual cues in a wider range of languages and communication contexts, as well as investigate their effects on higher-level processes beyond phonological decoding.</w:t>
      </w:r>
    </w:p>
    <w:p>
      <w:pPr>
        <w:pStyle w:val="Heading1"/>
      </w:pPr>
      <w:bookmarkStart w:id="5" w:name="_Toc5"/>
      <w:r>
        <w:t>Topics for further research:</w:t>
      </w:r>
      <w:bookmarkEnd w:id="5"/>
    </w:p>
    <w:p>
      <w:pPr>
        <w:spacing w:after="0"/>
        <w:numPr>
          <w:ilvl w:val="0"/>
          <w:numId w:val="2"/>
        </w:numPr>
      </w:pPr>
      <w:r>
        <w:rPr/>
        <w:t xml:space="preserve">The role of visual cues in non-English speaking populations
</w:t>
      </w:r>
    </w:p>
    <w:p>
      <w:pPr>
        <w:spacing w:after="0"/>
        <w:numPr>
          <w:ilvl w:val="0"/>
          <w:numId w:val="2"/>
        </w:numPr>
      </w:pPr>
      <w:r>
        <w:rPr/>
        <w:t xml:space="preserve">The impact of incongruent iconic gestures on comprehension
</w:t>
      </w:r>
    </w:p>
    <w:p>
      <w:pPr>
        <w:spacing w:after="0"/>
        <w:numPr>
          <w:ilvl w:val="0"/>
          <w:numId w:val="2"/>
        </w:numPr>
      </w:pPr>
      <w:r>
        <w:rPr/>
        <w:t xml:space="preserve">The role of visual cues in conveying emotional states and social intentions
</w:t>
      </w:r>
    </w:p>
    <w:p>
      <w:pPr>
        <w:spacing w:after="0"/>
        <w:numPr>
          <w:ilvl w:val="0"/>
          <w:numId w:val="2"/>
        </w:numPr>
      </w:pPr>
      <w:r>
        <w:rPr/>
        <w:t xml:space="preserve">The degree of attentional resources required for processing visual cues
</w:t>
      </w:r>
    </w:p>
    <w:p>
      <w:pPr>
        <w:spacing w:after="0"/>
        <w:numPr>
          <w:ilvl w:val="0"/>
          <w:numId w:val="2"/>
        </w:numPr>
      </w:pPr>
      <w:r>
        <w:rPr/>
        <w:t xml:space="preserve">The role of visible speech in syntactic parsing and discourse comprehension
</w:t>
      </w:r>
    </w:p>
    <w:p>
      <w:pPr>
        <w:numPr>
          <w:ilvl w:val="0"/>
          <w:numId w:val="2"/>
        </w:numPr>
      </w:pPr>
      <w:r>
        <w:rPr/>
        <w:t xml:space="preserve">The effects of visual cues on higher-level processes beyond phonological decoding</w:t>
      </w:r>
    </w:p>
    <w:p>
      <w:pPr>
        <w:pStyle w:val="Heading1"/>
      </w:pPr>
      <w:bookmarkStart w:id="6" w:name="_Toc6"/>
      <w:r>
        <w:t>Report location:</w:t>
      </w:r>
      <w:bookmarkEnd w:id="6"/>
    </w:p>
    <w:p>
      <w:hyperlink r:id="rId8" w:history="1">
        <w:r>
          <w:rPr>
            <w:color w:val="2980b9"/>
            <w:u w:val="single"/>
          </w:rPr>
          <w:t xml:space="preserve">https://www.fullpicture.app/item/2ceb209551fd610e816b7acc645dcb91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30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23-021-02009-5" TargetMode="External"/><Relationship Id="rId8" Type="http://schemas.openxmlformats.org/officeDocument/2006/relationships/hyperlink" Target="https://www.fullpicture.app/item/2ceb209551fd610e816b7acc645dcb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2023-12-15T21:54:11+01:00</dcterms:created>
  <dcterms:modified xsi:type="dcterms:W3CDTF">2023-12-15T21:54:11+01:00</dcterms:modified>
</cp:coreProperties>
</file>

<file path=docProps/custom.xml><?xml version="1.0" encoding="utf-8"?>
<Properties xmlns="http://schemas.openxmlformats.org/officeDocument/2006/custom-properties" xmlns:vt="http://schemas.openxmlformats.org/officeDocument/2006/docPropsVTypes"/>
</file>