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GST Regime</w:t>
      </w:r>
      <w:br/>
      <w:hyperlink r:id="rId7" w:history="1">
        <w:r>
          <w:rPr>
            <w:color w:val="2980b9"/>
            <w:u w:val="single"/>
          </w:rPr>
          <w:t xml:space="preserve">https://www.gra.co.nz/articles-by-matthew-gilligan/new-gst-regime</w:t>
        </w:r>
      </w:hyperlink>
    </w:p>
    <w:p>
      <w:pPr>
        <w:pStyle w:val="Heading1"/>
      </w:pPr>
      <w:bookmarkStart w:id="2" w:name="_Toc2"/>
      <w:r>
        <w:t>Article summary:</w:t>
      </w:r>
      <w:bookmarkEnd w:id="2"/>
    </w:p>
    <w:p>
      <w:pPr>
        <w:jc w:val="both"/>
      </w:pPr>
      <w:r>
        <w:rPr/>
        <w:t xml:space="preserve">1. 新的消费税制度于2011年4月1日生效，其中最重要的变化是关于土地交易的零税率规定。</w:t>
      </w:r>
    </w:p>
    <w:p>
      <w:pPr>
        <w:jc w:val="both"/>
      </w:pPr>
      <w:r>
        <w:rPr/>
        <w:t xml:space="preserve">2. 这些规定旨在解决政府对土地从一个消费税注册方出售给另一个消费税注册方的情况下发生的消费税泄漏问题。新规定适用于消费税注册方之间涉及土地供应的交易。</w:t>
      </w:r>
    </w:p>
    <w:p>
      <w:pPr>
        <w:jc w:val="both"/>
      </w:pPr>
      <w:r>
        <w:rPr/>
        <w:t xml:space="preserve">3. 根据新规定，任何涉及土地的供应都以0%的消费税率进行零税率处理，购买方不支付也不申报消费税，销售方也不退还消费税。这样可以防止政府财政部门因无法从破产销售方收取消费税而亏损。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这篇文章主要介绍了新的商品与服务税（GST）制度，并重点讨论了土地交易的零税率规定。然而，这篇文章存在一些潜在的偏见和片面报道。</w:t>
      </w:r>
    </w:p>
    <w:p>
      <w:pPr>
        <w:jc w:val="both"/>
      </w:pPr>
      <w:r>
        <w:rPr/>
        <w:t xml:space="preserve"/>
      </w:r>
    </w:p>
    <w:p>
      <w:pPr>
        <w:jc w:val="both"/>
      </w:pPr>
      <w:r>
        <w:rPr/>
        <w:t xml:space="preserve">首先，文章提到新规定是为了解决政府对土地从一个注册GST方出售给另一个注册GST方的情况下可能发生的GST泄漏问题。然而，文章没有提供任何数据或证据来支持这个问题的严重性或频率。因此，读者无法判断这个问题是否真的存在，以及新规定是否是必要的。</w:t>
      </w:r>
    </w:p>
    <w:p>
      <w:pPr>
        <w:jc w:val="both"/>
      </w:pPr>
      <w:r>
        <w:rPr/>
        <w:t xml:space="preserve"/>
      </w:r>
    </w:p>
    <w:p>
      <w:pPr>
        <w:jc w:val="both"/>
      </w:pPr>
      <w:r>
        <w:rPr/>
        <w:t xml:space="preserve">其次，文章只关注了购买方在零税率交易中可能面临的风险和限制，而忽略了销售方可能面临的影响。它没有探讨销售方如何处理零税率交易对其业务和现金流的影响。这种不平等地呈现双方的观点可能导致读者对整个情况产生误解。</w:t>
      </w:r>
    </w:p>
    <w:p>
      <w:pPr>
        <w:jc w:val="both"/>
      </w:pPr>
      <w:r>
        <w:rPr/>
        <w:t xml:space="preserve"/>
      </w:r>
    </w:p>
    <w:p>
      <w:pPr>
        <w:jc w:val="both"/>
      </w:pPr>
      <w:r>
        <w:rPr/>
        <w:t xml:space="preserve">此外，文章还提到有一个补充条款被添加到标准买卖协议中，但并未详细说明该条款内容或其目的。这使得读者无法全面了解相关法律要求和责任。</w:t>
      </w:r>
    </w:p>
    <w:p>
      <w:pPr>
        <w:jc w:val="both"/>
      </w:pPr>
      <w:r>
        <w:rPr/>
        <w:t xml:space="preserve"/>
      </w:r>
    </w:p>
    <w:p>
      <w:pPr>
        <w:jc w:val="both"/>
      </w:pPr>
      <w:r>
        <w:rPr/>
        <w:t xml:space="preserve">最后，在评论部分引用了一位客户对GRA团队（Gilligan Rowe + Associates）的赞扬。然而，这种宣传性的评论并没有提供任何关于文章主题的实质性信息，也没有提供其他客户的反馈或意见来平衡观点。</w:t>
      </w:r>
    </w:p>
    <w:p>
      <w:pPr>
        <w:jc w:val="both"/>
      </w:pPr>
      <w:r>
        <w:rPr/>
        <w:t xml:space="preserve"/>
      </w:r>
    </w:p>
    <w:p>
      <w:pPr>
        <w:jc w:val="both"/>
      </w:pPr>
      <w:r>
        <w:rPr/>
        <w:t xml:space="preserve">综上所述，这篇文章存在潜在的偏见和片面报道。它没有提供充分的证据来支持其主张，并忽略了销售方可能面临的影响。此外，它还包含了宣传性评论，缺乏平衡和客观性。读者应该对其中提到的信息保持警惕，并寻找更全面和客观的来源来了解新GST制度及其影响。</w:t>
      </w:r>
    </w:p>
    <w:p>
      <w:pPr>
        <w:pStyle w:val="Heading1"/>
      </w:pPr>
      <w:bookmarkStart w:id="5" w:name="_Toc5"/>
      <w:r>
        <w:t>Topics for further research:</w:t>
      </w:r>
      <w:bookmarkEnd w:id="5"/>
    </w:p>
    <w:p>
      <w:pPr>
        <w:spacing w:after="0"/>
        <w:numPr>
          <w:ilvl w:val="0"/>
          <w:numId w:val="2"/>
        </w:numPr>
      </w:pPr>
      <w:r>
        <w:rPr/>
        <w:t xml:space="preserve">GST leakage issue and its severity
</w:t>
      </w:r>
    </w:p>
    <w:p>
      <w:pPr>
        <w:spacing w:after="0"/>
        <w:numPr>
          <w:ilvl w:val="0"/>
          <w:numId w:val="2"/>
        </w:numPr>
      </w:pPr>
      <w:r>
        <w:rPr/>
        <w:t xml:space="preserve">Impact of zero-rated transactions on sellers
</w:t>
      </w:r>
    </w:p>
    <w:p>
      <w:pPr>
        <w:spacing w:after="0"/>
        <w:numPr>
          <w:ilvl w:val="0"/>
          <w:numId w:val="2"/>
        </w:numPr>
      </w:pPr>
      <w:r>
        <w:rPr/>
        <w:t xml:space="preserve">Details and purpose of the additional clause in the standard sale and purchase agreement
</w:t>
      </w:r>
    </w:p>
    <w:p>
      <w:pPr>
        <w:spacing w:after="0"/>
        <w:numPr>
          <w:ilvl w:val="0"/>
          <w:numId w:val="2"/>
        </w:numPr>
      </w:pPr>
      <w:r>
        <w:rPr/>
        <w:t xml:space="preserve">Other customer feedback or opinions on the topic
</w:t>
      </w:r>
    </w:p>
    <w:p>
      <w:pPr>
        <w:spacing w:after="0"/>
        <w:numPr>
          <w:ilvl w:val="0"/>
          <w:numId w:val="2"/>
        </w:numPr>
      </w:pPr>
      <w:r>
        <w:rPr/>
        <w:t xml:space="preserve">Balanced and objective sources to understand the new GST system and its effects
</w:t>
      </w:r>
    </w:p>
    <w:p>
      <w:pPr>
        <w:numPr>
          <w:ilvl w:val="0"/>
          <w:numId w:val="2"/>
        </w:numPr>
      </w:pPr>
      <w:r>
        <w:rPr/>
        <w:t xml:space="preserve">Potential biases and one-sided reporting in the article</w:t>
      </w:r>
    </w:p>
    <w:p>
      <w:pPr>
        <w:pStyle w:val="Heading1"/>
      </w:pPr>
      <w:bookmarkStart w:id="6" w:name="_Toc6"/>
      <w:r>
        <w:t>Report location:</w:t>
      </w:r>
      <w:bookmarkEnd w:id="6"/>
    </w:p>
    <w:p>
      <w:hyperlink r:id="rId8" w:history="1">
        <w:r>
          <w:rPr>
            <w:color w:val="2980b9"/>
            <w:u w:val="single"/>
          </w:rPr>
          <w:t xml:space="preserve">https://www.fullpicture.app/item/2c5680258ce506cc3e7f652002bbddbe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D9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co.nz/articles-by-matthew-gilligan/new-gst-regime" TargetMode="External"/><Relationship Id="rId8" Type="http://schemas.openxmlformats.org/officeDocument/2006/relationships/hyperlink" Target="https://www.fullpicture.app/item/2c5680258ce506cc3e7f652002bbd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2024-01-14T16:47:16+01:00</dcterms:created>
  <dcterms:modified xsi:type="dcterms:W3CDTF">2024-01-14T16:47:16+01:00</dcterms:modified>
</cp:coreProperties>
</file>

<file path=docProps/custom.xml><?xml version="1.0" encoding="utf-8"?>
<Properties xmlns="http://schemas.openxmlformats.org/officeDocument/2006/custom-properties" xmlns:vt="http://schemas.openxmlformats.org/officeDocument/2006/docPropsVTypes"/>
</file>