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AAPG Datapages/Archives: The Vaca Muerta–Quintuco system (Tithonian–Valanginian) in the Neuquén Basin, Argentina: A view from the outcrops in the Chos Malal fold and thrust belt</w:t>
      </w:r>
      <w:br/>
      <w:hyperlink r:id="rId7" w:history="1">
        <w:r>
          <w:rPr>
            <w:color w:val="2980b9"/>
            <w:u w:val="single"/>
          </w:rPr>
          <w:t xml:space="preserve">https://archives.datapages.com/data/bulletns/2016/05may/BLTN15121/bltn15121.html?doi=10.1306%2F02101615121</w:t>
        </w:r>
      </w:hyperlink>
    </w:p>
    <w:p>
      <w:pPr>
        <w:pStyle w:val="Heading1"/>
      </w:pPr>
      <w:bookmarkStart w:id="2" w:name="_Toc2"/>
      <w:r>
        <w:t>Article summary:</w:t>
      </w:r>
      <w:bookmarkEnd w:id="2"/>
    </w:p>
    <w:p>
      <w:pPr>
        <w:jc w:val="both"/>
      </w:pPr>
      <w:r>
        <w:rPr/>
        <w:t xml:space="preserve">1. 该研究分析了阿根廷 Neuquén 盆地 Chos Malal 区域的三个露头剖面，揭示了 Vaca Muerta-Quintuco 系统的沉积相和序列层位。</w:t>
      </w:r>
    </w:p>
    <w:p>
      <w:pPr>
        <w:jc w:val="both"/>
      </w:pPr>
      <w:r>
        <w:rPr/>
        <w:t xml:space="preserve">2. 通过详细的相态分析，确定了六种相态组合，代表了一个碳酸盐坡度系统（Vaca Muerta Formation）的盆地到近外缘坡度相和一个混合碳酸盐-硅质沉积物架系统（Quintuco Formation）的盆地到岸滩相。</w:t>
      </w:r>
    </w:p>
    <w:p>
      <w:pPr>
        <w:jc w:val="both"/>
      </w:pPr>
      <w:r>
        <w:rPr/>
        <w:t xml:space="preserve">3. 研究发现有机质含量波动与沉积序列有关，最高值与横向海侵体系域相关联。X射线衍射研究显示，在 Vaca Muerta Formation 的横向海侵体系域中粘土矿物和石英含量增加，而在 Quintuco Formation 中钙化物含量增加。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本文是一篇关于阿根廷Neuquén盆地Vaca Muerta-Quintuco系统的研究，主要分析了该系统在Chos Malal区域的三个露头剖面。文章通过详细的相态分析，将该系统划分为六个相态组合，并识别出五个复合沉积序列和十五个高频序列。此外，文章还探讨了有机质、粘土矿物、相态、堆积模式和相对海平面变化之间的关系。</w:t>
      </w:r>
    </w:p>
    <w:p>
      <w:pPr>
        <w:jc w:val="both"/>
      </w:pPr>
      <w:r>
        <w:rPr/>
        <w:t xml:space="preserve"/>
      </w:r>
    </w:p>
    <w:p>
      <w:pPr>
        <w:jc w:val="both"/>
      </w:pPr>
      <w:r>
        <w:rPr/>
        <w:t xml:space="preserve">从整体上看，本文提供了有价值的信息和数据，对于理解这一非常规页岩油和页岩气储层的特点和潜力具有重要意义。然而，在某些方面，本文也存在一些问题。</w:t>
      </w:r>
    </w:p>
    <w:p>
      <w:pPr>
        <w:jc w:val="both"/>
      </w:pPr>
      <w:r>
        <w:rPr/>
        <w:t xml:space="preserve"/>
      </w:r>
    </w:p>
    <w:p>
      <w:pPr>
        <w:jc w:val="both"/>
      </w:pPr>
      <w:r>
        <w:rPr/>
        <w:t xml:space="preserve">首先，本文可能存在偏见。作者们来自多家公司和机构，其中包括Shell Exploration and Production Company等大型石油公司。因此，在撰写本文时可能存在商业利益或行业倾向性。</w:t>
      </w:r>
    </w:p>
    <w:p>
      <w:pPr>
        <w:jc w:val="both"/>
      </w:pPr>
      <w:r>
        <w:rPr/>
        <w:t xml:space="preserve"/>
      </w:r>
    </w:p>
    <w:p>
      <w:pPr>
        <w:jc w:val="both"/>
      </w:pPr>
      <w:r>
        <w:rPr/>
        <w:t xml:space="preserve">其次，本文可能存在片面报道。虽然文章提供了详细的相态分析和序列层位研究结果，但并未涉及其他可能影响页岩油和页岩气开采的因素，如环境影响、社会经济成本等。</w:t>
      </w:r>
    </w:p>
    <w:p>
      <w:pPr>
        <w:jc w:val="both"/>
      </w:pPr>
      <w:r>
        <w:rPr/>
        <w:t xml:space="preserve"/>
      </w:r>
    </w:p>
    <w:p>
      <w:pPr>
        <w:jc w:val="both"/>
      </w:pPr>
      <w:r>
        <w:rPr/>
        <w:t xml:space="preserve">此外，在文章中也缺乏对风险和不确定性的考虑。尽管作者们提到了有机质含量与沉积序列之间的关系，但并未探讨这种关系是否普遍存在或是否可以用于预测储层质量。</w:t>
      </w:r>
    </w:p>
    <w:p>
      <w:pPr>
        <w:jc w:val="both"/>
      </w:pPr>
      <w:r>
        <w:rPr/>
        <w:t xml:space="preserve"/>
      </w:r>
    </w:p>
    <w:p>
      <w:pPr>
        <w:jc w:val="both"/>
      </w:pPr>
      <w:r>
        <w:rPr/>
        <w:t xml:space="preserve">最后，在文章中也没有平等地呈现双方观点。作者们主要关注页岩油和页岩气勘探开发方面，并未涉及反对者或环保组织对这种开采方式所持有的观点。</w:t>
      </w:r>
    </w:p>
    <w:p>
      <w:pPr>
        <w:jc w:val="both"/>
      </w:pPr>
      <w:r>
        <w:rPr/>
        <w:t xml:space="preserve"/>
      </w:r>
    </w:p>
    <w:p>
      <w:pPr>
        <w:jc w:val="both"/>
      </w:pPr>
      <w:r>
        <w:rPr/>
        <w:t xml:space="preserve">总之，尽管本文提供了有价值的信息和数据，并且在某些方面进行了深入探讨，但仍需要更全面地考虑各种因素，并注意潜在偏见或片面报道问题。</w:t>
      </w:r>
    </w:p>
    <w:p>
      <w:pPr>
        <w:pStyle w:val="Heading1"/>
      </w:pPr>
      <w:bookmarkStart w:id="5" w:name="_Toc5"/>
      <w:r>
        <w:t>Topics for further research:</w:t>
      </w:r>
      <w:bookmarkEnd w:id="5"/>
    </w:p>
    <w:p>
      <w:pPr>
        <w:spacing w:after="0"/>
        <w:numPr>
          <w:ilvl w:val="0"/>
          <w:numId w:val="2"/>
        </w:numPr>
      </w:pPr>
      <w:r>
        <w:rPr/>
        <w:t xml:space="preserve">Environmental impact of shale oil and gas exploration
</w:t>
      </w:r>
    </w:p>
    <w:p>
      <w:pPr>
        <w:spacing w:after="0"/>
        <w:numPr>
          <w:ilvl w:val="0"/>
          <w:numId w:val="2"/>
        </w:numPr>
      </w:pPr>
      <w:r>
        <w:rPr/>
        <w:t xml:space="preserve">Social and economic costs of shale oil and gas exploration
</w:t>
      </w:r>
    </w:p>
    <w:p>
      <w:pPr>
        <w:spacing w:after="0"/>
        <w:numPr>
          <w:ilvl w:val="0"/>
          <w:numId w:val="2"/>
        </w:numPr>
      </w:pPr>
      <w:r>
        <w:rPr/>
        <w:t xml:space="preserve">Risks and uncertainties associated with shale oil and gas exploration
</w:t>
      </w:r>
    </w:p>
    <w:p>
      <w:pPr>
        <w:spacing w:after="0"/>
        <w:numPr>
          <w:ilvl w:val="0"/>
          <w:numId w:val="2"/>
        </w:numPr>
      </w:pPr>
      <w:r>
        <w:rPr/>
        <w:t xml:space="preserve">Validity of using organic matter content to predict reservoir quality
</w:t>
      </w:r>
    </w:p>
    <w:p>
      <w:pPr>
        <w:spacing w:after="0"/>
        <w:numPr>
          <w:ilvl w:val="0"/>
          <w:numId w:val="2"/>
        </w:numPr>
      </w:pPr>
      <w:r>
        <w:rPr/>
        <w:t xml:space="preserve">Opposition to shale oil and gas exploration from environmental groups
</w:t>
      </w:r>
    </w:p>
    <w:p>
      <w:pPr>
        <w:numPr>
          <w:ilvl w:val="0"/>
          <w:numId w:val="2"/>
        </w:numPr>
      </w:pPr>
      <w:r>
        <w:rPr/>
        <w:t xml:space="preserve">Potential bias or industry influence in the article</w:t>
      </w:r>
    </w:p>
    <w:p>
      <w:pPr>
        <w:pStyle w:val="Heading1"/>
      </w:pPr>
      <w:bookmarkStart w:id="6" w:name="_Toc6"/>
      <w:r>
        <w:t>Report location:</w:t>
      </w:r>
      <w:bookmarkEnd w:id="6"/>
    </w:p>
    <w:p>
      <w:hyperlink r:id="rId8" w:history="1">
        <w:r>
          <w:rPr>
            <w:color w:val="2980b9"/>
            <w:u w:val="single"/>
          </w:rPr>
          <w:t xml:space="preserve">https://www.fullpicture.app/item/2c3da6b08de1665af77e5c3b2132ad59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4BA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s.datapages.com/data/bulletns/2016/05may/BLTN15121/bltn15121.html?doi=10.1306%2F02101615121" TargetMode="External"/><Relationship Id="rId8" Type="http://schemas.openxmlformats.org/officeDocument/2006/relationships/hyperlink" Target="https://www.fullpicture.app/item/2c3da6b08de1665af77e5c3b2132ad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2024-01-10T19:05:54+01:00</dcterms:created>
  <dcterms:modified xsi:type="dcterms:W3CDTF">2024-01-10T19:05:54+01:00</dcterms:modified>
</cp:coreProperties>
</file>

<file path=docProps/custom.xml><?xml version="1.0" encoding="utf-8"?>
<Properties xmlns="http://schemas.openxmlformats.org/officeDocument/2006/custom-properties" xmlns:vt="http://schemas.openxmlformats.org/officeDocument/2006/docPropsVTypes"/>
</file>