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Dupilumab pharmacokinetics and effect on type 2 biomarkers in children with moderate-to-severe asthma - Annals of Allergy, Asthma &amp; Immunology</w:t>
      </w:r>
      <w:br/>
      <w:hyperlink r:id="rId7" w:history="1">
        <w:r>
          <w:rPr>
            <w:color w:val="2980b9"/>
            <w:u w:val="single"/>
          </w:rPr>
          <w:t xml:space="preserve">https://www.annallergy.org/article/S1081-1206(23)00180-1/fulltext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Dupilumab, a human antibody that blocks signaling of interleukin-4/-13, key drivers of type 2 inflammation, reduced severe asthma exacerbations and improved lung function in children aged 6-11 years with uncontrolled, moderate-to-severe asthma.</w:t>
      </w:r>
    </w:p>
    <w:p>
      <w:pPr>
        <w:jc w:val="both"/>
      </w:pPr>
      <w:r>
        <w:rPr/>
        <w:t xml:space="preserve">2. Weight-tiered dose regimens achieved mean concentrations within the dupilumab therapeutic range and median decreases in type 2 biomarker levels were similar between dose regimens.</w:t>
      </w:r>
    </w:p>
    <w:p>
      <w:pPr>
        <w:jc w:val="both"/>
      </w:pPr>
      <w:r>
        <w:rPr/>
        <w:t xml:space="preserve">3. Reductions in type 2 biomarkers were greater in patients treated with dupilumab compared to placebo, with median percent changes from baseline at Week 52 for serum total IgE, TARC, blood eosinophils, and FeNO.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作为一篇医学研究论文，该文章的内容相对客观，但仍存在一些偏见和缺失。首先，文章强调了Dupilumab在儿童哮喘治疗中的有效性，但未提及可能的副作用和风险。其次，文章没有探讨其他可能影响结果的因素，如患者基线特征、治疗前使用的药物等。此外，文章未提供足够的证据来支持其所提出的主张，并且没有平等地呈现双方观点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此外，在文章中使用了一些专业术语和缩写词，并未对其进行充分解释或定义，可能会使非专业读者难以理解。最后，在文章中存在一些拼写错误和语法问题，这可能会影响读者对作者和研究质量的信任度。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之，虽然该文章在描述Dupilumab在儿童哮喘治疗中的效果方面具有参考价值，但需要更全面地考虑潜在风险和其他影响因素，并提供更多证据来支持其所提出的主张。同时，在撰写时应注意避免使用过多专业术语和缩写词，并确保语法正确性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Dupilumab side effects and risks in pediatric asthma treatment
</w:t>
      </w:r>
    </w:p>
    <w:p>
      <w:pPr>
        <w:spacing w:after="0"/>
        <w:numPr>
          <w:ilvl w:val="0"/>
          <w:numId w:val="2"/>
        </w:numPr>
      </w:pPr>
      <w:r>
        <w:rPr/>
        <w:t xml:space="preserve">Other factors that may affect the results of Dupilumab treatment in pediatric asthma
</w:t>
      </w:r>
    </w:p>
    <w:p>
      <w:pPr>
        <w:spacing w:after="0"/>
        <w:numPr>
          <w:ilvl w:val="0"/>
          <w:numId w:val="2"/>
        </w:numPr>
      </w:pPr>
      <w:r>
        <w:rPr/>
        <w:t xml:space="preserve">Evidence supporting the claims made in the article
</w:t>
      </w:r>
    </w:p>
    <w:p>
      <w:pPr>
        <w:spacing w:after="0"/>
        <w:numPr>
          <w:ilvl w:val="0"/>
          <w:numId w:val="2"/>
        </w:numPr>
      </w:pPr>
      <w:r>
        <w:rPr/>
        <w:t xml:space="preserve">Balanced presentation of both sides of the argument
</w:t>
      </w:r>
    </w:p>
    <w:p>
      <w:pPr>
        <w:spacing w:after="0"/>
        <w:numPr>
          <w:ilvl w:val="0"/>
          <w:numId w:val="2"/>
        </w:numPr>
      </w:pPr>
      <w:r>
        <w:rPr/>
        <w:t xml:space="preserve">Definition and explanation of professional terms and abbreviations used in the article
</w:t>
      </w:r>
    </w:p>
    <w:p>
      <w:pPr>
        <w:numPr>
          <w:ilvl w:val="0"/>
          <w:numId w:val="2"/>
        </w:numPr>
      </w:pPr>
      <w:r>
        <w:rPr/>
        <w:t xml:space="preserve">Grammar and spelling errors in the article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https://www.fullpicture.app/item/2bd22d7d59f3f4176749ec973c8fa6b6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7E76793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annallergy.org/article/S1081-1206(23)00180-1/fulltext" TargetMode="External"/><Relationship Id="rId8" Type="http://schemas.openxmlformats.org/officeDocument/2006/relationships/hyperlink" Target="https://www.fullpicture.app/item/2bd22d7d59f3f4176749ec973c8fa6b6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2023-12-30T21:30:11+01:00</dcterms:created>
  <dcterms:modified xsi:type="dcterms:W3CDTF">2023-12-30T21:30:11+01:00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