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Simultaneous determination of seven acrylates in food contact paper products by GC/MS and modified QuEChERS - Analytical Methods (RSC Publishing)</w:t>
      </w:r>
      <w:br/>
      <w:hyperlink r:id="rId7" w:history="1">
        <w:r>
          <w:rPr>
            <w:color w:val="2980b9"/>
            <w:u w:val="single"/>
          </w:rPr>
          <w:t xml:space="preserve">https://pubs.rsc.org/en/content/articlelanding/2016/ay/c6ay00613b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本文介绍了一种利用气相色谱串联质谱（GC/MS）和改良的QuEChERS净化技术同时检测食品接触纸制品中七种丙烯酸酯化合物的新方法。</w:t>
      </w:r>
    </w:p>
    <w:p>
      <w:pPr>
        <w:jc w:val="both"/>
      </w:pPr>
      <w:r>
        <w:rPr/>
        <w:t xml:space="preserve">2. 在最佳条件下，这种方法对七种分析物的校准曲线在5.0-1000 μg L-1范围内呈线性关系，相关系数高于0.9984。该方法的定量限（S / N = 10）在50.0-100.0 μg kg-1范围内。</w:t>
      </w:r>
    </w:p>
    <w:p>
      <w:pPr>
        <w:jc w:val="both"/>
      </w:pPr>
      <w:r>
        <w:rPr/>
        <w:t xml:space="preserve">3. 这种方法准确、简单、快速，并可应用于食品接触纸制品中丙烯酸酯的检测。平均回收率为82.1-106.5％，相对标准偏差（RSD，n = 6）范围为1.5％至5.6％。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使用气相色谱串联质谱和QuEChERS净化技术检测食品接触纸制品中七种丙烯酸酯化合物的新方法。然而，该文章没有提及可能存在的偏见或潜在风险。此外，该文章没有探讨其他可能影响结果的因素，如样品来源、存储条件等。此外，该文章也没有提供足够的证据来支持其所得到的结论。因此，需要更多的研究来验证这种方法是否可靠，并确定其适用性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or risks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results
</w:t>
      </w:r>
    </w:p>
    <w:p>
      <w:pPr>
        <w:spacing w:after="0"/>
        <w:numPr>
          <w:ilvl w:val="0"/>
          <w:numId w:val="2"/>
        </w:numPr>
      </w:pPr>
      <w:r>
        <w:rPr/>
        <w:t xml:space="preserve">Sample sources
</w:t>
      </w:r>
    </w:p>
    <w:p>
      <w:pPr>
        <w:spacing w:after="0"/>
        <w:numPr>
          <w:ilvl w:val="0"/>
          <w:numId w:val="2"/>
        </w:numPr>
      </w:pPr>
      <w:r>
        <w:rPr/>
        <w:t xml:space="preserve">Storage conditions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conclusions
</w:t>
      </w:r>
    </w:p>
    <w:p>
      <w:pPr>
        <w:numPr>
          <w:ilvl w:val="0"/>
          <w:numId w:val="2"/>
        </w:numPr>
      </w:pPr>
      <w:r>
        <w:rPr/>
        <w:t xml:space="preserve">Need for further research and validation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https://www.fullpicture.app/item/2a37e4fe41b73ba02f536cb425dffa59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162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c.org/en/content/articlelanding/2016/ay/c6ay00613b" TargetMode="External"/><Relationship Id="rId8" Type="http://schemas.openxmlformats.org/officeDocument/2006/relationships/hyperlink" Target="https://www.fullpicture.app/item/2a37e4fe41b73ba02f536cb425dffa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2024-01-05T11:00:14+01:00</dcterms:created>
  <dcterms:modified xsi:type="dcterms:W3CDTF">2024-01-05T11:00:14+01:00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