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3D printed hydrogel/wesselsite-PCL composite scaffold with structural change from core/shell fibers to microchannels for enhanced bone regeneration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https://www.sciencedirect.com/science/article/abs/pii/S1359836822006370?via%3Dihub=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ideal bone scaffold should meet several requirements such as good biocompatibility, robust mechanical properties, optimal pore parameters, controlled biodegradability and excellent osteogenesis and angiogenesis.</w:t>
      </w:r>
    </w:p>
    <w:p>
      <w:pPr>
        <w:jc w:val="both"/>
      </w:pPr>
      <w:r>
        <w:rPr/>
        <w:t xml:space="preserve">2. Hybrid PCL/hydrogel scaffolds have been fabricated to maintain mechanical strength and structural stability during bone regeneration, but still face the problem of slow degradation of PCL.</w:t>
      </w:r>
    </w:p>
    <w:p>
      <w:pPr>
        <w:jc w:val="both"/>
      </w:pPr>
      <w:r>
        <w:rPr/>
        <w:t xml:space="preserve">3. A hybrid core/shell fiber scaffold with a structural change from core/shell fibers to microchannels has been developed by coating a homogeneous layer of PCL/CS on 3D printed hydrogel scaffold, providing enhanced mechanical support at early stages and promoting bone formation and vascularization as the hydrogels degrade.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该文章介绍了一种新型的3D打印水凝胶/韦瑟尔斯石-PCL复合支架，旨在增强骨再生。然而，该文章存在以下问题：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偏见来源：文章没有提及其他类型的骨支架，只是简单地介绍了PCL和水凝胶的缺点，并将其组合成一个复合支架。这可能导致读者对其他类型的支架不太了解。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片面报道：文章只关注了复合支架的优点，但没有提到其潜在的缺点或风险。例如，如果PCL降解速度过慢，可能会影响新骨形成。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缺失考虑点：文章没有讨论如何控制复合支架中不同材料之间的相互作用。例如，在PCL和水凝胶之间形成的界面可能会影响材料性能。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主张缺失证据：文章声称使用CS纳米材料可以促进骨生成和血管生成，但并未提供足够的证据来支持这一主张。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未探索反驳：文章没有探讨其他学者对该技术或类似技术的反驳意见。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宣传内容：文章似乎更多地关注了技术的优点，而没有提供足够的信息来帮助读者评估其实际效果。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偏袒：文章没有平等地呈现双方的观点，而是只关注了一种特定类型的支架。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with other types of bone scaffolds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or risks of the composite scaffold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different materials in the composite scaffold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CS nanoparticles for bone and vascular regeneration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criticisms from other scholars
</w:t>
      </w:r>
    </w:p>
    <w:p>
      <w:pPr>
        <w:numPr>
          <w:ilvl w:val="0"/>
          <w:numId w:val="2"/>
        </w:numPr>
      </w:pPr>
      <w:r>
        <w:rPr/>
        <w:t xml:space="preserve">Balanced presentation of different viewpoints and practical outcomes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https://www.fullpicture.app/item/2a2b9434a7f5d6e0df0d4b10f141a737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277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359836822006370?via%3Dihub=" TargetMode="External"/><Relationship Id="rId8" Type="http://schemas.openxmlformats.org/officeDocument/2006/relationships/hyperlink" Target="https://www.fullpicture.app/item/2a2b9434a7f5d6e0df0d4b10f141a7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2023-06-08T15:21:55+02:00</dcterms:created>
  <dcterms:modified xsi:type="dcterms:W3CDTF">2023-06-08T15:21:55+02:00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