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Chinese trends in adolescent marriage and fertility between 1990 and 2015: a systematic synthesis of national and subnational population data - The Lancet Global Health</w:t>
      </w:r>
      <w:br/>
      <w:hyperlink r:id="rId7" w:history="1">
        <w:r>
          <w:rPr>
            <w:color w:val="2980b9"/>
            <w:u w:val="single"/>
          </w:rPr>
          <w:t xml:space="preserve">https://www.thelancet.com/journals/langlo/article/PIIS2214-109X(20)30130-3/fulltext</w:t>
        </w:r>
      </w:hyperlink>
    </w:p>
    <w:p>
      <w:pPr>
        <w:pStyle w:val="Heading1"/>
      </w:pPr>
      <w:bookmarkStart w:id="2" w:name="_Toc2"/>
      <w:r>
        <w:t>Article summary:</w:t>
      </w:r>
      <w:bookmarkEnd w:id="2"/>
    </w:p>
    <w:p>
      <w:pPr>
        <w:jc w:val="both"/>
      </w:pPr>
      <w:r>
        <w:rPr/>
        <w:t xml:space="preserve">1. 中国青少年婚姻和生育趋势在1990年至2015年间发生了变化。研究表明，尽管总体生育率仍低于替代水平，但过去十年间青少年婚姻和生育率有所回升。</w:t>
      </w:r>
    </w:p>
    <w:p>
      <w:pPr>
        <w:jc w:val="both"/>
      </w:pPr>
      <w:r>
        <w:rPr/>
        <w:t xml:space="preserve">2. 农村地区和西部省份的15-19岁女性更容易在青少年时期结婚和生育。经济增长和教育时间的延长与女性推迟结婚和生育有关，而男女比例失衡、大量农民工人口以及未婚青少年对避孕需求的满足不足与15-19岁女性的婚姻和生育回升有关。</w:t>
      </w:r>
    </w:p>
    <w:p>
      <w:pPr>
        <w:jc w:val="both"/>
      </w:pPr>
      <w:r>
        <w:rPr/>
        <w:t xml:space="preserve">3. 针对青少年的策略需要包括加强全面性别教育、支持女孩继续接受教育，并提供适合性行为活跃未婚女孩和年轻女性需求的生殖健康服务，特别是现代避孕方法的需求。在那些学校保留率较低且存在较高失业率的地区加大教育投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这篇文章对中国青少年婚姻和生育的趋势进行了系统综合分析。然而，文章存在一些潜在的偏见和局限性。</w:t>
      </w:r>
    </w:p>
    <w:p>
      <w:pPr>
        <w:jc w:val="both"/>
      </w:pPr>
      <w:r>
        <w:rPr/>
        <w:t xml:space="preserve"/>
      </w:r>
    </w:p>
    <w:p>
      <w:pPr>
        <w:jc w:val="both"/>
      </w:pPr>
      <w:r>
        <w:rPr/>
        <w:t xml:space="preserve">首先，文章提到了过去三十年中国发生的一系列快速变化，包括未婚青少年性行为增加、大量年轻农民工人口以及男女比例失衡等因素可能改变中国青少年和年轻女性的生殖健康模式。然而，文章没有提供这些变化与青少年婚姻和生育之间的确切关联证据。它只是简单地指出这些变化可能会影响生殖健康，但没有提供具体数据或研究结果来支持这一观点。</w:t>
      </w:r>
    </w:p>
    <w:p>
      <w:pPr>
        <w:jc w:val="both"/>
      </w:pPr>
      <w:r>
        <w:rPr/>
        <w:t xml:space="preserve"/>
      </w:r>
    </w:p>
    <w:p>
      <w:pPr>
        <w:jc w:val="both"/>
      </w:pPr>
      <w:r>
        <w:rPr/>
        <w:t xml:space="preserve">其次，文章强调了15-19岁女性的结婚率和生育率在2000年后出现反弹。然而，文章没有深入探讨导致这种反弹的原因。它只是提到了一些可能的因素，如经济增长、男女比例失衡和未婚青少年避孕需求无法满足等。但是，缺乏具体数据或研究结果来支持这些假设。</w:t>
      </w:r>
    </w:p>
    <w:p>
      <w:pPr>
        <w:jc w:val="both"/>
      </w:pPr>
      <w:r>
        <w:rPr/>
        <w:t xml:space="preserve"/>
      </w:r>
    </w:p>
    <w:p>
      <w:pPr>
        <w:jc w:val="both"/>
      </w:pPr>
      <w:r>
        <w:rPr/>
        <w:t xml:space="preserve">此外，在讨论教育水平对青少年生育的影响时，文章提到教育对青少年生育具有保护作用。然而，它没有提供任何具体数据或研究结果来支持这一观点。同样地，在讨论男女比例失衡和少数民族比例对青少年婚姻和生育的影响时，文章也没有提供充分的证据。</w:t>
      </w:r>
    </w:p>
    <w:p>
      <w:pPr>
        <w:jc w:val="both"/>
      </w:pPr>
      <w:r>
        <w:rPr/>
        <w:t xml:space="preserve"/>
      </w:r>
    </w:p>
    <w:p>
      <w:pPr>
        <w:jc w:val="both"/>
      </w:pPr>
      <w:r>
        <w:rPr/>
        <w:t xml:space="preserve">最后，文章没有平等地呈现双方观点。它主要关注了青少年婚姻和生育率的上升趋势，并提出了一些可能的解决方案，如加强性教育、确保女孩继续上学以及提供适当的生殖健康服务。然而，它没有探讨可能导致这种趋势反弹的其他因素或观点。</w:t>
      </w:r>
    </w:p>
    <w:p>
      <w:pPr>
        <w:jc w:val="both"/>
      </w:pPr>
      <w:r>
        <w:rPr/>
        <w:t xml:space="preserve"/>
      </w:r>
    </w:p>
    <w:p>
      <w:pPr>
        <w:jc w:val="both"/>
      </w:pPr>
      <w:r>
        <w:rPr/>
        <w:t xml:space="preserve">总之，尽管这篇文章提供了一些关于中国青少年婚姻和生育趋势的信息，但它存在潜在的偏见和局限性。它缺乏具体数据和研究结果来支持其观点，并且未能全面考虑所有相关因素。因此，在评估其结论时需要谨慎，并进一步进行深入研究以获取更全面准确的信息。</w:t>
      </w:r>
    </w:p>
    <w:p>
      <w:pPr>
        <w:pStyle w:val="Heading1"/>
      </w:pPr>
      <w:bookmarkStart w:id="5" w:name="_Toc5"/>
      <w:r>
        <w:t>Topics for further research:</w:t>
      </w:r>
      <w:bookmarkEnd w:id="5"/>
    </w:p>
    <w:p>
      <w:pPr>
        <w:spacing w:after="0"/>
        <w:numPr>
          <w:ilvl w:val="0"/>
          <w:numId w:val="2"/>
        </w:numPr>
      </w:pPr>
      <w:r>
        <w:rPr/>
        <w:t xml:space="preserve">青少年婚姻和生育的具体数据和研究结果
</w:t>
      </w:r>
    </w:p>
    <w:p>
      <w:pPr>
        <w:spacing w:after="0"/>
        <w:numPr>
          <w:ilvl w:val="0"/>
          <w:numId w:val="2"/>
        </w:numPr>
      </w:pPr>
      <w:r>
        <w:rPr/>
        <w:t xml:space="preserve">青少年婚姻和生育趋势的其他可能因素
</w:t>
      </w:r>
    </w:p>
    <w:p>
      <w:pPr>
        <w:spacing w:after="0"/>
        <w:numPr>
          <w:ilvl w:val="0"/>
          <w:numId w:val="2"/>
        </w:numPr>
      </w:pPr>
      <w:r>
        <w:rPr/>
        <w:t xml:space="preserve">青少年婚姻和生育趋势的反弹原因
</w:t>
      </w:r>
    </w:p>
    <w:p>
      <w:pPr>
        <w:spacing w:after="0"/>
        <w:numPr>
          <w:ilvl w:val="0"/>
          <w:numId w:val="2"/>
        </w:numPr>
      </w:pPr>
      <w:r>
        <w:rPr/>
        <w:t xml:space="preserve">教育对青少年生育的保护作用的具体数据和研究结果
</w:t>
      </w:r>
    </w:p>
    <w:p>
      <w:pPr>
        <w:spacing w:after="0"/>
        <w:numPr>
          <w:ilvl w:val="0"/>
          <w:numId w:val="2"/>
        </w:numPr>
      </w:pPr>
      <w:r>
        <w:rPr/>
        <w:t xml:space="preserve">男女比例失衡和少数民族比例对青少年婚姻和生育的具体影响
</w:t>
      </w:r>
    </w:p>
    <w:p>
      <w:pPr>
        <w:numPr>
          <w:ilvl w:val="0"/>
          <w:numId w:val="2"/>
        </w:numPr>
      </w:pPr>
      <w:r>
        <w:rPr/>
        <w:t xml:space="preserve">青少年婚姻和生育趋势的其他观点和解决方案</w:t>
      </w:r>
    </w:p>
    <w:p>
      <w:pPr>
        <w:pStyle w:val="Heading1"/>
      </w:pPr>
      <w:bookmarkStart w:id="6" w:name="_Toc6"/>
      <w:r>
        <w:t>Report location:</w:t>
      </w:r>
      <w:bookmarkEnd w:id="6"/>
    </w:p>
    <w:p>
      <w:hyperlink r:id="rId8" w:history="1">
        <w:r>
          <w:rPr>
            <w:color w:val="2980b9"/>
            <w:u w:val="single"/>
          </w:rPr>
          <w:t xml:space="preserve">https://www.fullpicture.app/item/2920008ceceafc303e2eb8f5e0c50495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7DEB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glo/article/PIIS2214-109X(20)30130-3/fulltext" TargetMode="External"/><Relationship Id="rId8" Type="http://schemas.openxmlformats.org/officeDocument/2006/relationships/hyperlink" Target="https://www.fullpicture.app/item/2920008ceceafc303e2eb8f5e0c504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2024-01-13T11:54:23+01:00</dcterms:created>
  <dcterms:modified xsi:type="dcterms:W3CDTF">2024-01-13T11:54:23+01:00</dcterms:modified>
</cp:coreProperties>
</file>

<file path=docProps/custom.xml><?xml version="1.0" encoding="utf-8"?>
<Properties xmlns="http://schemas.openxmlformats.org/officeDocument/2006/custom-properties" xmlns:vt="http://schemas.openxmlformats.org/officeDocument/2006/docPropsVTypes"/>
</file>