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美国通胀降温 或加强美联储结束加息信心!现货黄金盘整等待催化剂|美联储_新浪财经_新浪网</w:t>
      </w:r>
      <w:br/>
      <w:hyperlink r:id="rId7" w:history="1">
        <w:r>
          <w:rPr>
            <w:color w:val="2980b9"/>
            <w:u w:val="single"/>
          </w:rPr>
          <w:t xml:space="preserve">https://finance.sina.com.cn/money/nmetal/hjfx/2023-11-03/doc-imzthyww3983685.shtml</w:t>
        </w:r>
      </w:hyperlink>
    </w:p>
    <w:p>
      <w:pPr>
        <w:pStyle w:val="Heading1"/>
      </w:pPr>
      <w:bookmarkStart w:id="2" w:name="_Toc2"/>
      <w:r>
        <w:t>Article summary:</w:t>
      </w:r>
      <w:bookmarkEnd w:id="2"/>
    </w:p>
    <w:p>
      <w:pPr>
        <w:jc w:val="both"/>
      </w:pPr>
      <w:r>
        <w:rPr/>
        <w:t xml:space="preserve">1. 美国劳动力成本意外下降，可能有助于降低通胀。最新数据显示，美国第三季度劳动力成本意外下降，这可能有助于冷却通胀。此外，初请失业金数据显示，10月28日当周申请失业救济人数增加了5,000人，高于预期，表明热门劳动力市场开始冷却。一些分析师指出，这可能加强美联储在今年暂停加息的判断。</w:t>
      </w:r>
    </w:p>
    <w:p>
      <w:pPr>
        <w:jc w:val="both"/>
      </w:pPr>
      <w:r>
        <w:rPr/>
        <w:t xml:space="preserve"/>
      </w:r>
    </w:p>
    <w:p>
      <w:pPr>
        <w:jc w:val="both"/>
      </w:pPr>
      <w:r>
        <w:rPr/>
        <w:t xml:space="preserve">2. 美联储结束加息信心加强。美国劳动力成本和劳动市场数据显示通胀压力已经缓解，并且热门劳动力市场已经开始冷却，这对美联储来说是好消息。尽管美联储犹豫是否结束加息周期，但欧洲央行仍面临巨大的通胀压力。</w:t>
      </w:r>
    </w:p>
    <w:p>
      <w:pPr>
        <w:jc w:val="both"/>
      </w:pPr>
      <w:r>
        <w:rPr/>
        <w:t xml:space="preserve"/>
      </w:r>
    </w:p>
    <w:p>
      <w:pPr>
        <w:jc w:val="both"/>
      </w:pPr>
      <w:r>
        <w:rPr/>
        <w:t xml:space="preserve">3. 黄金价格盘整等待催化剂。黄金价格在周四略微反弹，并结束了连续三天的下跌。黄金价格继续保持盘整趋势，并围绕1983美元交易。交易者将等待今晚的非农就业数据作为催化剂。</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这篇文章主要报道了美国通胀降温可能加强美联储结束加息的信心，并指出现货黄金正在盘整等待催化剂。然而，这篇文章存在一些问题和偏见。</w:t>
      </w:r>
    </w:p>
    <w:p>
      <w:pPr>
        <w:jc w:val="both"/>
      </w:pPr>
      <w:r>
        <w:rPr/>
        <w:t xml:space="preserve"/>
      </w:r>
    </w:p>
    <w:p>
      <w:pPr>
        <w:jc w:val="both"/>
      </w:pPr>
      <w:r>
        <w:rPr/>
        <w:t xml:space="preserve">首先，文章没有提供足够的证据来支持其主张。它只是简单地引用了一些数据，如劳动力成本下降和失业救济申请人数增加，但没有提供更多的背景信息或分析来解释这些数据对通胀和美联储政策的影响。</w:t>
      </w:r>
    </w:p>
    <w:p>
      <w:pPr>
        <w:jc w:val="both"/>
      </w:pPr>
      <w:r>
        <w:rPr/>
        <w:t xml:space="preserve"/>
      </w:r>
    </w:p>
    <w:p>
      <w:pPr>
        <w:jc w:val="both"/>
      </w:pPr>
      <w:r>
        <w:rPr/>
        <w:t xml:space="preserve">其次，文章没有探讨可能存在的其他因素。例如，它没有提到全球经济复苏放缓、贸易紧张局势加剧或新冠病毒变种对经济的潜在影响。这些因素都可能对通胀和美联储政策产生重大影响，但在文章中被忽略了。</w:t>
      </w:r>
    </w:p>
    <w:p>
      <w:pPr>
        <w:jc w:val="both"/>
      </w:pPr>
      <w:r>
        <w:rPr/>
        <w:t xml:space="preserve"/>
      </w:r>
    </w:p>
    <w:p>
      <w:pPr>
        <w:jc w:val="both"/>
      </w:pPr>
      <w:r>
        <w:rPr/>
        <w:t xml:space="preserve">此外，文章似乎有一定程度的偏袒。它强调了美国通胀降温可能加强美联储结束加息的信心，但没有提及任何可能导致通胀上升的因素。这种片面报道可能会给读者留下不完整或误导性的印象。</w:t>
      </w:r>
    </w:p>
    <w:p>
      <w:pPr>
        <w:jc w:val="both"/>
      </w:pPr>
      <w:r>
        <w:rPr/>
        <w:t xml:space="preserve"/>
      </w:r>
    </w:p>
    <w:p>
      <w:pPr>
        <w:jc w:val="both"/>
      </w:pPr>
      <w:r>
        <w:rPr/>
        <w:t xml:space="preserve">最后，文章没有充分考虑到潜在风险。它只关注了通胀降温对美联储政策的积极影响，但没有提及可能出现的其他风险，如经济放缓或金融市场动荡。这种不平衡的报道可能会误导读者对当前经济形势的理解。</w:t>
      </w:r>
    </w:p>
    <w:p>
      <w:pPr>
        <w:jc w:val="both"/>
      </w:pPr>
      <w:r>
        <w:rPr/>
        <w:t xml:space="preserve"/>
      </w:r>
    </w:p>
    <w:p>
      <w:pPr>
        <w:jc w:val="both"/>
      </w:pPr>
      <w:r>
        <w:rPr/>
        <w:t xml:space="preserve">总之，这篇文章存在一些问题和偏见，包括片面报道、缺乏证据支持和忽略潜在风险等。读者应该保持批判性思维，并寻找更全面和客观的信息来评估当前经济形势和政策决策的影响。</w:t>
      </w:r>
    </w:p>
    <w:p>
      <w:pPr>
        <w:pStyle w:val="Heading1"/>
      </w:pPr>
      <w:bookmarkStart w:id="5" w:name="_Toc5"/>
      <w:r>
        <w:t>Topics for further research:</w:t>
      </w:r>
      <w:bookmarkEnd w:id="5"/>
    </w:p>
    <w:p>
      <w:pPr>
        <w:spacing w:after="0"/>
        <w:numPr>
          <w:ilvl w:val="0"/>
          <w:numId w:val="2"/>
        </w:numPr>
      </w:pPr>
      <w:r>
        <w:rPr/>
        <w:t xml:space="preserve">美国通胀趋势
</w:t>
      </w:r>
    </w:p>
    <w:p>
      <w:pPr>
        <w:spacing w:after="0"/>
        <w:numPr>
          <w:ilvl w:val="0"/>
          <w:numId w:val="2"/>
        </w:numPr>
      </w:pPr>
      <w:r>
        <w:rPr/>
        <w:t xml:space="preserve">全球经济复苏
</w:t>
      </w:r>
    </w:p>
    <w:p>
      <w:pPr>
        <w:spacing w:after="0"/>
        <w:numPr>
          <w:ilvl w:val="0"/>
          <w:numId w:val="2"/>
        </w:numPr>
      </w:pPr>
      <w:r>
        <w:rPr/>
        <w:t xml:space="preserve">贸易紧张局势
</w:t>
      </w:r>
    </w:p>
    <w:p>
      <w:pPr>
        <w:spacing w:after="0"/>
        <w:numPr>
          <w:ilvl w:val="0"/>
          <w:numId w:val="2"/>
        </w:numPr>
      </w:pPr>
      <w:r>
        <w:rPr/>
        <w:t xml:space="preserve">新冠病毒变种
</w:t>
      </w:r>
    </w:p>
    <w:p>
      <w:pPr>
        <w:spacing w:after="0"/>
        <w:numPr>
          <w:ilvl w:val="0"/>
          <w:numId w:val="2"/>
        </w:numPr>
      </w:pPr>
      <w:r>
        <w:rPr/>
        <w:t xml:space="preserve">通胀上升因素
</w:t>
      </w:r>
    </w:p>
    <w:p>
      <w:pPr>
        <w:numPr>
          <w:ilvl w:val="0"/>
          <w:numId w:val="2"/>
        </w:numPr>
      </w:pPr>
      <w:r>
        <w:rPr/>
        <w:t xml:space="preserve">经济风险和金融市场动荡</w:t>
      </w:r>
    </w:p>
    <w:p>
      <w:pPr>
        <w:pStyle w:val="Heading1"/>
      </w:pPr>
      <w:bookmarkStart w:id="6" w:name="_Toc6"/>
      <w:r>
        <w:t>Report location:</w:t>
      </w:r>
      <w:bookmarkEnd w:id="6"/>
    </w:p>
    <w:p>
      <w:hyperlink r:id="rId8" w:history="1">
        <w:r>
          <w:rPr>
            <w:color w:val="2980b9"/>
            <w:u w:val="single"/>
          </w:rPr>
          <w:t xml:space="preserve">https://www.fullpicture.app/item/271c757ae6f81ecabec806165086aa8e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A042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nance.sina.com.cn/money/nmetal/hjfx/2023-11-03/doc-imzthyww3983685.shtml" TargetMode="External"/><Relationship Id="rId8" Type="http://schemas.openxmlformats.org/officeDocument/2006/relationships/hyperlink" Target="https://www.fullpicture.app/item/271c757ae6f81ecabec806165086aa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2024-05-13T06:14:04+02:00</dcterms:created>
  <dcterms:modified xsi:type="dcterms:W3CDTF">2024-05-13T06:14:04+02:00</dcterms:modified>
</cp:coreProperties>
</file>

<file path=docProps/custom.xml><?xml version="1.0" encoding="utf-8"?>
<Properties xmlns="http://schemas.openxmlformats.org/officeDocument/2006/custom-properties" xmlns:vt="http://schemas.openxmlformats.org/officeDocument/2006/docPropsVTypes"/>
</file>