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EFL teacher resilience in the Chinese context - ScienceDirect</w:t>
      </w:r>
      <w:br/>
      <w:hyperlink r:id="rId7" w:history="1">
        <w:r>
          <w:rPr>
            <w:color w:val="2980b9"/>
            <w:u w:val="single"/>
          </w:rPr>
          <w:t xml:space="preserve">https://www.sciencedirect.com/science/article/abs/pii/S0346251X22000331</w:t>
        </w:r>
      </w:hyperlink>
    </w:p>
    <w:p>
      <w:pPr>
        <w:pStyle w:val="Heading1"/>
      </w:pPr>
      <w:bookmarkStart w:id="2" w:name="_Toc2"/>
      <w:r>
        <w:t>Article summary:</w:t>
      </w:r>
      <w:bookmarkEnd w:id="2"/>
    </w:p>
    <w:p>
      <w:pPr>
        <w:jc w:val="both"/>
      </w:pPr>
      <w:r>
        <w:rPr/>
        <w:t xml:space="preserve">1. Teacher resilience (TR) is an important issue in the context of positive psychology, enabling teachers to bounce back quickly and function well despite challenging events.</w:t>
      </w:r>
    </w:p>
    <w:p>
      <w:pPr>
        <w:jc w:val="both"/>
      </w:pPr>
      <w:r>
        <w:rPr/>
        <w:t xml:space="preserve">2. Language teachers, particularly EFL teachers in China, face severe physical and emotional pressures due to exam-oriented teaching and increasing qualifications requirements.</w:t>
      </w:r>
    </w:p>
    <w:p>
      <w:pPr>
        <w:jc w:val="both"/>
      </w:pPr>
      <w:r>
        <w:rPr/>
        <w:t xml:space="preserve">3. The study adapted and validated a Chinese version of the CD-RISC to identify a tri-factorial construct of EFL TR involving tenacity, optimism, and coping style. Coping style is a newly identified dimension reflecting EFL teachers' dispositions towards responding to challenges.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"Exploring EFL teacher resilience in the Chinese context" provides an overview of the concept of teacher resilience and its importance in the context of language teaching in China. The authors argue that resilience is a key factor in addressing teaching pressures, sustaining teachers' professional commitment, and influencing staff retention. They also highlight the challenges faced by EFL teachers in China, including physical and emotional pressures, dysfunctional interpersonal relationships, and high public expectations.</w:t>
      </w:r>
    </w:p>
    <w:p>
      <w:pPr>
        <w:jc w:val="both"/>
      </w:pPr>
      <w:r>
        <w:rPr/>
        <w:t xml:space="preserve"/>
      </w:r>
    </w:p>
    <w:p>
      <w:pPr>
        <w:jc w:val="both"/>
      </w:pPr>
      <w:r>
        <w:rPr/>
        <w:t xml:space="preserve">The article presents a tri-factorial conceptualization of EFL teacher resilience, which includes tenacity, optimism, and coping style. The authors adapted the Connor-Davidson Resilience Scale (CD-RISC) to develop a reliable and valid 10-item CD-RISC-EFL Teacher Survey measurement tool. They conducted tests of univariate normality and item analysis to confirm the utility of the adapted survey with a sample of 658 senior high school EFL teachers from different regions in China.</w:t>
      </w:r>
    </w:p>
    <w:p>
      <w:pPr>
        <w:jc w:val="both"/>
      </w:pPr>
      <w:r>
        <w:rPr/>
        <w:t xml:space="preserve"/>
      </w:r>
    </w:p>
    <w:p>
      <w:pPr>
        <w:jc w:val="both"/>
      </w:pPr>
      <w:r>
        <w:rPr/>
        <w:t xml:space="preserve">Overall, the article provides valuable insights into the concept of teacher resilience and its relevance to language teaching in China. However, there are some potential biases and limitations that need to be considered.</w:t>
      </w:r>
    </w:p>
    <w:p>
      <w:pPr>
        <w:jc w:val="both"/>
      </w:pPr>
      <w:r>
        <w:rPr/>
        <w:t xml:space="preserve"/>
      </w:r>
    </w:p>
    <w:p>
      <w:pPr>
        <w:jc w:val="both"/>
      </w:pPr>
      <w:r>
        <w:rPr/>
        <w:t xml:space="preserve">Firstly, the article focuses solely on EFL teachers in China, which limits its generalizability to other contexts. It would be useful to explore teacher resilience across different subjects and educational levels to gain a more comprehensive understanding of this concept.</w:t>
      </w:r>
    </w:p>
    <w:p>
      <w:pPr>
        <w:jc w:val="both"/>
      </w:pPr>
      <w:r>
        <w:rPr/>
        <w:t xml:space="preserve"/>
      </w:r>
    </w:p>
    <w:p>
      <w:pPr>
        <w:jc w:val="both"/>
      </w:pPr>
      <w:r>
        <w:rPr/>
        <w:t xml:space="preserve">Secondly, while the authors acknowledge that prior studies have examined LTR via qualitative methods focusing on TR strategies, they do not provide any details about these studies or their findings. This omission limits our understanding of how previous research has contributed to our knowledge of LTR.</w:t>
      </w:r>
    </w:p>
    <w:p>
      <w:pPr>
        <w:jc w:val="both"/>
      </w:pPr>
      <w:r>
        <w:rPr/>
        <w:t xml:space="preserve"/>
      </w:r>
    </w:p>
    <w:p>
      <w:pPr>
        <w:jc w:val="both"/>
      </w:pPr>
      <w:r>
        <w:rPr/>
        <w:t xml:space="preserve">Thirdly, although the authors provide evidence for the reliability and validity of their adapted CD-RISC-EFL Teacher Survey measurement tool through various tests (e.g., item analysis, internal consistency), they do not provide any evidence for its predictive validity or criterion-related validity. It would be useful to investigate whether scores on this survey are related to other measures of teacher well-being or job performance.</w:t>
      </w:r>
    </w:p>
    <w:p>
      <w:pPr>
        <w:jc w:val="both"/>
      </w:pPr>
      <w:r>
        <w:rPr/>
        <w:t xml:space="preserve"/>
      </w:r>
    </w:p>
    <w:p>
      <w:pPr>
        <w:jc w:val="both"/>
      </w:pPr>
      <w:r>
        <w:rPr/>
        <w:t xml:space="preserve">Fourthly, while the authors identify coping style as a new dimension of EFL teacher resilience that reflects teachers' dispositions towards responding to challenges, they do not provide any details about what this dimension entails or how it differs from tenacity or optimism. Further clarification is needed on how these three dimensions interact with each other to contribute to overall teacher resilience.</w:t>
      </w:r>
    </w:p>
    <w:p>
      <w:pPr>
        <w:jc w:val="both"/>
      </w:pPr>
      <w:r>
        <w:rPr/>
        <w:t xml:space="preserve"/>
      </w:r>
    </w:p>
    <w:p>
      <w:pPr>
        <w:jc w:val="both"/>
      </w:pPr>
      <w:r>
        <w:rPr/>
        <w:t xml:space="preserve">Finally, while the article provides valuable insights into EFL teacher resilience in China, it does not address potential risks associated with promoting resilience as a solution to teaching pressures. For example, emphasizing individual-level factors such as resilience may overlook systemic issues such as inadequate resources or unrealistic expectations placed on teachers by policymakers or parents.</w:t>
      </w:r>
    </w:p>
    <w:p>
      <w:pPr>
        <w:jc w:val="both"/>
      </w:pPr>
      <w:r>
        <w:rPr/>
        <w:t xml:space="preserve"/>
      </w:r>
    </w:p>
    <w:p>
      <w:pPr>
        <w:jc w:val="both"/>
      </w:pPr>
      <w:r>
        <w:rPr/>
        <w:t xml:space="preserve">In conclusion, while "Exploring EFL teacher resilience in the Chinese context" provides valuable insights into an important topic within education research, there are some potential biases and limitations that need to be considered when interpreting its findings. Future research should aim to address these limitations by exploring teacher resilience across different contexts using both qualitative and quantitative methods and considering potential risks associated with promoting individual-level solutions without addressing systemic issues.</w:t>
      </w:r>
    </w:p>
    <w:p>
      <w:pPr>
        <w:pStyle w:val="Heading1"/>
      </w:pPr>
      <w:bookmarkStart w:id="5" w:name="_Toc5"/>
      <w:r>
        <w:t>Topics for further research:</w:t>
      </w:r>
      <w:bookmarkEnd w:id="5"/>
    </w:p>
    <w:p>
      <w:pPr>
        <w:spacing w:after="0"/>
        <w:numPr>
          <w:ilvl w:val="0"/>
          <w:numId w:val="2"/>
        </w:numPr>
      </w:pPr>
      <w:r>
        <w:rPr/>
        <w:t xml:space="preserve">Qualitative studies on teacher resilience strategies
</w:t>
      </w:r>
    </w:p>
    <w:p>
      <w:pPr>
        <w:spacing w:after="0"/>
        <w:numPr>
          <w:ilvl w:val="0"/>
          <w:numId w:val="2"/>
        </w:numPr>
      </w:pPr>
      <w:r>
        <w:rPr/>
        <w:t xml:space="preserve">Teacher resilience in different educational contexts
</w:t>
      </w:r>
    </w:p>
    <w:p>
      <w:pPr>
        <w:spacing w:after="0"/>
        <w:numPr>
          <w:ilvl w:val="0"/>
          <w:numId w:val="2"/>
        </w:numPr>
      </w:pPr>
      <w:r>
        <w:rPr/>
        <w:t xml:space="preserve">Predictive validity of resilience measurement tools
</w:t>
      </w:r>
    </w:p>
    <w:p>
      <w:pPr>
        <w:spacing w:after="0"/>
        <w:numPr>
          <w:ilvl w:val="0"/>
          <w:numId w:val="2"/>
        </w:numPr>
      </w:pPr>
      <w:r>
        <w:rPr/>
        <w:t xml:space="preserve">Criterion-related validity of resilience measurement tools
</w:t>
      </w:r>
    </w:p>
    <w:p>
      <w:pPr>
        <w:spacing w:after="0"/>
        <w:numPr>
          <w:ilvl w:val="0"/>
          <w:numId w:val="2"/>
        </w:numPr>
      </w:pPr>
      <w:r>
        <w:rPr/>
        <w:t xml:space="preserve">Coping styles and their role in teacher resilience
</w:t>
      </w:r>
    </w:p>
    <w:p>
      <w:pPr>
        <w:numPr>
          <w:ilvl w:val="0"/>
          <w:numId w:val="2"/>
        </w:numPr>
      </w:pPr>
      <w:r>
        <w:rPr/>
        <w:t xml:space="preserve">Systemic issues in education and their impact on teacher well-being</w:t>
      </w:r>
    </w:p>
    <w:p>
      <w:pPr>
        <w:pStyle w:val="Heading1"/>
      </w:pPr>
      <w:bookmarkStart w:id="6" w:name="_Toc6"/>
      <w:r>
        <w:t>Report location:</w:t>
      </w:r>
      <w:bookmarkEnd w:id="6"/>
    </w:p>
    <w:p>
      <w:hyperlink r:id="rId8" w:history="1">
        <w:r>
          <w:rPr>
            <w:color w:val="2980b9"/>
            <w:u w:val="single"/>
          </w:rPr>
          <w:t xml:space="preserve">https://www.fullpicture.app/item/222503c5d8a18a221f1dbd8747a5fbd6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32EB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46251X22000331" TargetMode="External"/><Relationship Id="rId8" Type="http://schemas.openxmlformats.org/officeDocument/2006/relationships/hyperlink" Target="https://www.fullpicture.app/item/222503c5d8a18a221f1dbd8747a5fb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2023-03-20T22:33:29+01:00</dcterms:created>
  <dcterms:modified xsi:type="dcterms:W3CDTF">2023-03-20T22:33:29+01:00</dcterms:modified>
</cp:coreProperties>
</file>

<file path=docProps/custom.xml><?xml version="1.0" encoding="utf-8"?>
<Properties xmlns="http://schemas.openxmlformats.org/officeDocument/2006/custom-properties" xmlns:vt="http://schemas.openxmlformats.org/officeDocument/2006/docPropsVTypes"/>
</file>