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Surveillance of Helicobacter pylori resistance over 22 Years (2000-2021) in Northern Spain - PubMed</w:t>
      </w:r>
      <w:br/>
      <w:hyperlink r:id="rId7" w:history="1">
        <w:r>
          <w:rPr>
            <w:color w:val="2980b9"/>
            <w:u w:val="single"/>
          </w:rPr>
          <w:t xml:space="preserve">https://pubmed.ncbi.nlm.nih.gov/37433393/</w:t>
        </w:r>
      </w:hyperlink>
    </w:p>
    <w:p>
      <w:pPr>
        <w:pStyle w:val="Heading1"/>
      </w:pPr>
      <w:bookmarkStart w:id="2" w:name="_Toc2"/>
      <w:r>
        <w:t>Article summary:</w:t>
      </w:r>
      <w:bookmarkEnd w:id="2"/>
    </w:p>
    <w:p>
      <w:pPr>
        <w:jc w:val="both"/>
      </w:pPr>
      <w:r>
        <w:rPr/>
        <w:t xml:space="preserve">1. 该研究对西班牙北部地区的幽门螺杆菌耐药情况进行了长达22年（2000-2021年）的监测。研究结果显示，克拉霉素和甲硝唑的一线耐药率在整个研究期间保持稳定，分别约为14%和30%，而左氧氟沙星的一线耐药率则增加了三倍。</w:t>
      </w:r>
    </w:p>
    <w:p>
      <w:pPr>
        <w:jc w:val="both"/>
      </w:pPr>
      <w:r>
        <w:rPr/>
        <w:t xml:space="preserve">2. 在所有检测到的幽门螺杆菌分离物中，仅有1.8%同时对克拉霉素、甲硝唑和左氧氟沙星表现出多重耐药性。</w:t>
      </w:r>
    </w:p>
    <w:p>
      <w:pPr>
        <w:jc w:val="both"/>
      </w:pPr>
      <w:r>
        <w:rPr/>
        <w:t xml:space="preserve">3. 文章强调通过培养和/或聚合酶链反应（PCR）确定幽门螺杆菌的敏感性可以帮助指导个体化治疗，并在无法进行敏感性测试时选择经验性治疗，从而有助于限制抗微生物药物耐药性的出现。</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这篇文章是一项关于西班牙北部地区幽门螺杆菌耐药性的监测研究。文章提供了从2000年到2021年的22年间的数据，分析了常用于治疗幽门螺杆菌感染的抗菌药物的一线和二线耐药情况。</w:t>
      </w:r>
    </w:p>
    <w:p>
      <w:pPr>
        <w:jc w:val="both"/>
      </w:pPr>
      <w:r>
        <w:rPr/>
        <w:t xml:space="preserve"/>
      </w:r>
    </w:p>
    <w:p>
      <w:pPr>
        <w:jc w:val="both"/>
      </w:pPr>
      <w:r>
        <w:rPr/>
        <w:t xml:space="preserve">文章首先指出，幽门螺杆菌胃炎被认为是一种传染病，不论症状和疾病阶段如何。大多数共识文件建议根据当地的抗微生物药物敏感性模式进行经验性治疗。该研究旨在提供关于常规和继发性抗微生物药物对幽门螺杆菌的耐药情况的临床有用信息。</w:t>
      </w:r>
    </w:p>
    <w:p>
      <w:pPr>
        <w:jc w:val="both"/>
      </w:pPr>
      <w:r>
        <w:rPr/>
        <w:t xml:space="preserve"/>
      </w:r>
    </w:p>
    <w:p>
      <w:pPr>
        <w:jc w:val="both"/>
      </w:pPr>
      <w:r>
        <w:rPr/>
        <w:t xml:space="preserve">该研究使用选择性培养基对31,406例胃十二指肠活检和2,641例串联试验样本进行培养，成功分离出36.7%的幽门螺杆菌。在12,835个分离株中，96.6%（12,399个）可以进行敏感性测试。此外，还使用聚合酶链反应（PCR）检测幽门螺杆菌及其对克拉霉素的耐药性，为112名培养阴性患者提供了敏感性数据。</w:t>
      </w:r>
    </w:p>
    <w:p>
      <w:pPr>
        <w:jc w:val="both"/>
      </w:pPr>
      <w:r>
        <w:rPr/>
        <w:t xml:space="preserve"/>
      </w:r>
    </w:p>
    <w:p>
      <w:pPr>
        <w:jc w:val="both"/>
      </w:pPr>
      <w:r>
        <w:rPr/>
        <w:t xml:space="preserve">研究结果显示，阿莫西林和四环素的耐药率很低（分别为0.6%和0.2%）。克拉霉素和甲硝唑的一线耐药率在22年的研究期间保持稳定，在克拉霉素方面约为14%，在甲硝唑方面约为30%。而对左氧氟沙星的一线耐药率则增加了两倍（从2000年的7.6%增加到2021年的21.7%，P &lt; 0.001），并且随着患者年龄增长而增加。值得注意的是，1.8%的分离株对克拉霉素、甲硝唑和左氧氟沙星具有多重耐药性。总体而言，二线耐药率高于一线耐药率，对于克拉霉素（42.5% vs 14.1%）、甲硝唑（40.9% vs 32%）和左氧氟沙星（21.5% vs 17.1%）都是如此。</w:t>
      </w:r>
    </w:p>
    <w:p>
      <w:pPr>
        <w:jc w:val="both"/>
      </w:pPr>
      <w:r>
        <w:rPr/>
        <w:t xml:space="preserve"/>
      </w:r>
    </w:p>
    <w:p>
      <w:pPr>
        <w:jc w:val="both"/>
      </w:pPr>
      <w:r>
        <w:rPr/>
        <w:t xml:space="preserve">文章结论指出，在进行内窥镜检查的患者中通过培养和/或PCR确定幽门螺杆菌的敏感性，可以促进个体化治疗的实施，并在无法进行敏感性测试时指导经验性治疗的选择，从而有助于限制抗微生物药物耐药性的出现。</w:t>
      </w:r>
    </w:p>
    <w:p>
      <w:pPr>
        <w:jc w:val="both"/>
      </w:pPr>
      <w:r>
        <w:rPr/>
        <w:t xml:space="preserve"/>
      </w:r>
    </w:p>
    <w:p>
      <w:pPr>
        <w:jc w:val="both"/>
      </w:pPr>
      <w:r>
        <w:rPr/>
        <w:t xml:space="preserve">总体而言，这篇文章提供了关于西班牙北部地区幽门螺杆菌耐药性的长期监测数据，并提出了根据敏感性测试结果进行个体化治疗的建议。然而，文章可能存在一些潜在偏见和局限性。首先，该研究仅涵盖了西班牙北部地区的数据，可能不能代表其他地区或国家的情况。其次，该研究没有探讨耐药机制或耐药基因型的变化情况。此外，文章未提及对其他抗菌药物（如氟喹诺酮类）的耐药情况。</w:t>
      </w:r>
    </w:p>
    <w:p>
      <w:pPr>
        <w:jc w:val="both"/>
      </w:pPr>
      <w:r>
        <w:rPr/>
        <w:t xml:space="preserve"/>
      </w:r>
    </w:p>
    <w:p>
      <w:pPr>
        <w:jc w:val="both"/>
      </w:pPr>
      <w:r>
        <w:rPr/>
        <w:t xml:space="preserve">此外，在分析中也没有明确提到可能存在的风险或注意到可能存在的偏见。文章没有平等地呈现双方观点，并且缺乏对可能存在的替代解释或反驳观点进行探索。</w:t>
      </w:r>
    </w:p>
    <w:p>
      <w:pPr>
        <w:jc w:val="both"/>
      </w:pPr>
      <w:r>
        <w:rPr/>
        <w:t xml:space="preserve"/>
      </w:r>
    </w:p>
    <w:p>
      <w:pPr>
        <w:jc w:val="both"/>
      </w:pPr>
      <w:r>
        <w:rPr/>
        <w:t xml:space="preserve">综上所述，尽管这篇文章提供了有关西班牙北部地区幽门螺杆菌耐药性的有用信息，但在解读和应用研究结果时需要谨慎，并考虑到可能存在的偏见和局限性。进一步的研究仍然需要对幽门螺杆菌耐药性进行深入探索，并综合考虑不同地区和国家的数据。</w:t>
      </w:r>
    </w:p>
    <w:p>
      <w:pPr>
        <w:pStyle w:val="Heading1"/>
      </w:pPr>
      <w:bookmarkStart w:id="5" w:name="_Toc5"/>
      <w:r>
        <w:t>Topics for further research:</w:t>
      </w:r>
      <w:bookmarkEnd w:id="5"/>
    </w:p>
    <w:p>
      <w:pPr>
        <w:spacing w:after="0"/>
        <w:numPr>
          <w:ilvl w:val="0"/>
          <w:numId w:val="2"/>
        </w:numPr>
      </w:pPr>
      <w:r>
        <w:rPr/>
        <w:t xml:space="preserve">幽门螺杆菌耐药机制
</w:t>
      </w:r>
    </w:p>
    <w:p>
      <w:pPr>
        <w:spacing w:after="0"/>
        <w:numPr>
          <w:ilvl w:val="0"/>
          <w:numId w:val="2"/>
        </w:numPr>
      </w:pPr>
      <w:r>
        <w:rPr/>
        <w:t xml:space="preserve">幽门螺杆菌耐药基因型
</w:t>
      </w:r>
    </w:p>
    <w:p>
      <w:pPr>
        <w:spacing w:after="0"/>
        <w:numPr>
          <w:ilvl w:val="0"/>
          <w:numId w:val="2"/>
        </w:numPr>
      </w:pPr>
      <w:r>
        <w:rPr/>
        <w:t xml:space="preserve">其他抗菌药物的耐药情况
</w:t>
      </w:r>
    </w:p>
    <w:p>
      <w:pPr>
        <w:spacing w:after="0"/>
        <w:numPr>
          <w:ilvl w:val="0"/>
          <w:numId w:val="2"/>
        </w:numPr>
      </w:pPr>
      <w:r>
        <w:rPr/>
        <w:t xml:space="preserve">研究的地理范围限制
</w:t>
      </w:r>
    </w:p>
    <w:p>
      <w:pPr>
        <w:spacing w:after="0"/>
        <w:numPr>
          <w:ilvl w:val="0"/>
          <w:numId w:val="2"/>
        </w:numPr>
      </w:pPr>
      <w:r>
        <w:rPr/>
        <w:t xml:space="preserve">可能存在的偏见和局限性
</w:t>
      </w:r>
    </w:p>
    <w:p>
      <w:pPr>
        <w:numPr>
          <w:ilvl w:val="0"/>
          <w:numId w:val="2"/>
        </w:numPr>
      </w:pPr>
      <w:r>
        <w:rPr/>
        <w:t xml:space="preserve">进一步研究的需求</w:t>
      </w:r>
    </w:p>
    <w:p>
      <w:pPr>
        <w:pStyle w:val="Heading1"/>
      </w:pPr>
      <w:bookmarkStart w:id="6" w:name="_Toc6"/>
      <w:r>
        <w:t>Report location:</w:t>
      </w:r>
      <w:bookmarkEnd w:id="6"/>
    </w:p>
    <w:p>
      <w:hyperlink r:id="rId8" w:history="1">
        <w:r>
          <w:rPr>
            <w:color w:val="2980b9"/>
            <w:u w:val="single"/>
          </w:rPr>
          <w:t xml:space="preserve">https://www.fullpicture.app/item/21ca41d2cc36218a6c22302120b3c67d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9586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433393/" TargetMode="External"/><Relationship Id="rId8" Type="http://schemas.openxmlformats.org/officeDocument/2006/relationships/hyperlink" Target="https://www.fullpicture.app/item/21ca41d2cc36218a6c22302120b3c6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2023-11-11T06:03:43+01:00</dcterms:created>
  <dcterms:modified xsi:type="dcterms:W3CDTF">2023-11-11T06:03:43+01:00</dcterms:modified>
</cp:coreProperties>
</file>

<file path=docProps/custom.xml><?xml version="1.0" encoding="utf-8"?>
<Properties xmlns="http://schemas.openxmlformats.org/officeDocument/2006/custom-properties" xmlns:vt="http://schemas.openxmlformats.org/officeDocument/2006/docPropsVTypes"/>
</file>