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RegTech and Regulatory Change Management for Financial Institutions | SpringerLink</w:t>
      </w:r>
      <w:br/>
      <w:hyperlink r:id="rId7" w:history="1">
        <w:r>
          <w:rPr>
            <w:color w:val="2980b9"/>
            <w:u w:val="single"/>
          </w:rPr>
          <w:t xml:space="preserve">https://link.springer.com/chapter/10.1007/978-3-030-62796-6_8</w:t>
        </w:r>
      </w:hyperlink>
    </w:p>
    <w:p>
      <w:pPr>
        <w:pStyle w:val="Heading1"/>
      </w:pPr>
      <w:bookmarkStart w:id="2" w:name="_Toc2"/>
      <w:r>
        <w:t>Article summary:</w:t>
      </w:r>
      <w:bookmarkEnd w:id="2"/>
    </w:p>
    <w:p>
      <w:pPr>
        <w:jc w:val="both"/>
      </w:pPr>
      <w:r>
        <w:rPr/>
        <w:t xml:space="preserve">1. 金融机构面临着不断变化的监管要求和复杂规则增加的负担，可能导致违规或无法满足截止日期而受到重罚。</w:t>
      </w:r>
    </w:p>
    <w:p>
      <w:pPr>
        <w:jc w:val="both"/>
      </w:pPr>
      <w:r>
        <w:rPr/>
        <w:t xml:space="preserve">2. 通过人工智能驱动的监管管理模型，金融机构可以成功地管理监管变化，并提出了如何在组织内部实施这种模型的建议。</w:t>
      </w:r>
    </w:p>
    <w:p>
      <w:pPr>
        <w:jc w:val="both"/>
      </w:pPr>
      <w:r>
        <w:rPr/>
        <w:t xml:space="preserve">3. 讨论了金融机构（包括伊斯兰教合规）在使用结构化方法处理区域优先事项时，在监管变革管理方面的演变、挑战和建议。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这篇文章主要讨论了金融机构在面对不断变化的监管要求和复杂规则增加负担的挑战，以及如何通过人工智能驱动的监管管理模型成功管理监管变化。然而，文章存在一些潜在偏见和片面报道。</w:t>
      </w:r>
    </w:p>
    <w:p>
      <w:pPr>
        <w:jc w:val="both"/>
      </w:pPr>
      <w:r>
        <w:rPr/>
        <w:t xml:space="preserve"/>
      </w:r>
    </w:p>
    <w:p>
      <w:pPr>
        <w:jc w:val="both"/>
      </w:pPr>
      <w:r>
        <w:rPr/>
        <w:t xml:space="preserve">首先，文章没有提到监管变化可能对金融机构造成的负面影响。虽然提到了罚款和处罚，但未深入探讨金融机构可能因无法满足监管要求而面临的风险，例如声誉受损、客户流失等问题。</w:t>
      </w:r>
    </w:p>
    <w:p>
      <w:pPr>
        <w:jc w:val="both"/>
      </w:pPr>
      <w:r>
        <w:rPr/>
        <w:t xml:space="preserve"/>
      </w:r>
    </w:p>
    <w:p>
      <w:pPr>
        <w:jc w:val="both"/>
      </w:pPr>
      <w:r>
        <w:rPr/>
        <w:t xml:space="preserve">其次，文章似乎偏向于支持使用AI驱动的监管管理模型，但并未提供充分的证据来支持这一主张。缺乏实际案例或研究结果来证明这种模型确实可以有效地帮助金融机构应对监管变化。</w:t>
      </w:r>
    </w:p>
    <w:p>
      <w:pPr>
        <w:jc w:val="both"/>
      </w:pPr>
      <w:r>
        <w:rPr/>
        <w:t xml:space="preserve"/>
      </w:r>
    </w:p>
    <w:p>
      <w:pPr>
        <w:jc w:val="both"/>
      </w:pPr>
      <w:r>
        <w:rPr/>
        <w:t xml:space="preserve">此外，文章没有探讨可能存在的反驳观点或其他解决方案。它似乎只关注了一种方法，并未全面考虑其他可能性。这可能导致读者对于如何最好地管理监管变化缺乏全面的理解。</w:t>
      </w:r>
    </w:p>
    <w:p>
      <w:pPr>
        <w:jc w:val="both"/>
      </w:pPr>
      <w:r>
        <w:rPr/>
        <w:t xml:space="preserve"/>
      </w:r>
    </w:p>
    <w:p>
      <w:pPr>
        <w:jc w:val="both"/>
      </w:pPr>
      <w:r>
        <w:rPr/>
        <w:t xml:space="preserve">总体而言，尽管这篇文章提出了重要议题并尝试为金融机构提供指导，但它仍然存在一些潜在偏见和不足之处。读者应该谨慎对待其中所提出的建议，并自行进行更深入的研究和分析。</w:t>
      </w:r>
    </w:p>
    <w:p>
      <w:pPr>
        <w:pStyle w:val="Heading1"/>
      </w:pPr>
      <w:bookmarkStart w:id="5" w:name="_Toc5"/>
      <w:r>
        <w:t>Topics for further research:</w:t>
      </w:r>
      <w:bookmarkEnd w:id="5"/>
    </w:p>
    <w:p>
      <w:pPr>
        <w:spacing w:after="0"/>
        <w:numPr>
          <w:ilvl w:val="0"/>
          <w:numId w:val="2"/>
        </w:numPr>
      </w:pPr>
      <w:r>
        <w:rPr/>
        <w:t xml:space="preserve">负面影响监管变化可能对金融机构造成的风险
</w:t>
      </w:r>
    </w:p>
    <w:p>
      <w:pPr>
        <w:spacing w:after="0"/>
        <w:numPr>
          <w:ilvl w:val="0"/>
          <w:numId w:val="2"/>
        </w:numPr>
      </w:pPr>
      <w:r>
        <w:rPr/>
        <w:t xml:space="preserve">AI驱动的监管管理模型的有效性证据
</w:t>
      </w:r>
    </w:p>
    <w:p>
      <w:pPr>
        <w:spacing w:after="0"/>
        <w:numPr>
          <w:ilvl w:val="0"/>
          <w:numId w:val="2"/>
        </w:numPr>
      </w:pPr>
      <w:r>
        <w:rPr/>
        <w:t xml:space="preserve">反驳观点或其他解决方案的探讨
</w:t>
      </w:r>
    </w:p>
    <w:p>
      <w:pPr>
        <w:spacing w:after="0"/>
        <w:numPr>
          <w:ilvl w:val="0"/>
          <w:numId w:val="2"/>
        </w:numPr>
      </w:pPr>
      <w:r>
        <w:rPr/>
        <w:t xml:space="preserve">文章的偏见和片面报道
</w:t>
      </w:r>
    </w:p>
    <w:p>
      <w:pPr>
        <w:spacing w:after="0"/>
        <w:numPr>
          <w:ilvl w:val="0"/>
          <w:numId w:val="2"/>
        </w:numPr>
      </w:pPr>
      <w:r>
        <w:rPr/>
        <w:t xml:space="preserve">金融机构面对监管变化的挑战
</w:t>
      </w:r>
    </w:p>
    <w:p>
      <w:pPr>
        <w:numPr>
          <w:ilvl w:val="0"/>
          <w:numId w:val="2"/>
        </w:numPr>
      </w:pPr>
      <w:r>
        <w:rPr/>
        <w:t xml:space="preserve">如何更全面地管理监管变化</w:t>
      </w:r>
    </w:p>
    <w:p>
      <w:pPr>
        <w:pStyle w:val="Heading1"/>
      </w:pPr>
      <w:bookmarkStart w:id="6" w:name="_Toc6"/>
      <w:r>
        <w:t>Report location:</w:t>
      </w:r>
      <w:bookmarkEnd w:id="6"/>
    </w:p>
    <w:p>
      <w:hyperlink r:id="rId8" w:history="1">
        <w:r>
          <w:rPr>
            <w:color w:val="2980b9"/>
            <w:u w:val="single"/>
          </w:rPr>
          <w:t xml:space="preserve">https://www.fullpicture.app/item/208dbd2ed7f63b1fafd331d39e0347ea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D0C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62796-6_8" TargetMode="External"/><Relationship Id="rId8" Type="http://schemas.openxmlformats.org/officeDocument/2006/relationships/hyperlink" Target="https://www.fullpicture.app/item/208dbd2ed7f63b1fafd331d39e0347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2024-06-29T21:15:32+02:00</dcterms:created>
  <dcterms:modified xsi:type="dcterms:W3CDTF">2024-06-29T21:15:32+02:00</dcterms:modified>
</cp:coreProperties>
</file>

<file path=docProps/custom.xml><?xml version="1.0" encoding="utf-8"?>
<Properties xmlns="http://schemas.openxmlformats.org/officeDocument/2006/custom-properties" xmlns:vt="http://schemas.openxmlformats.org/officeDocument/2006/docPropsVTypes"/>
</file>