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Analysis of Launch and Postapproval Cancer Drug Pricing, Clinical Benefit, and Policy Implications in the US and Europe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https://www.ncbi.nlm.nih.gov/pmc/articles/PMC8251654/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美国与欧洲在癌症药物的价格、临床效益和政策影响方面存在差异。研究发现，美国的癌症药物上市价格高于欧洲，而且美国的价格经常比通胀率增长更快，而欧洲的价格则在通胀调整后下降。然而，在所有国家中，上市价格和后续价格增长与临床效益没有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这项研究表明，尽管美国需要采取最大的措施来解决高昂的癌症药物费用问题，但欧洲也可以重新审查他们的定价规定，以确保与临床价值更好地对齐。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在这个经济评估研究期间，美国癌症药物的上市价格远高于评估相似高收入欧洲国家的价格，并且这种差距在批准后几年内不断增加。美国癌症药物的价格经常比通胀率增长更快，而欧洲的价格则在通胀调整后下降。无论在哪个国家，价格变动都与临床效益无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美国和欧洲癌症药物定价、临床效益和政策影响的经济评估。文章指出，美国的癌症药物上市价格比欧洲高，而且在美国，药物价格经常比通胀率增长更快，而在欧洲则相对稳定或下降。然而，文章没有提供足够的证据来支持其结论，并存在一些潜在的偏见和不完整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说明其数据来源和方法。它只提到了使用了美国食品和药物管理局（FDA）和欧洲药品管理局（EMA）的批准数据，并对价格进行了调整。然而，没有提供详细的数据分析方法或其他可能影响结果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其他可能影响药物定价和临床效益的因素。例如，它没有考虑到不同国家之间的医疗保健体系差异、市场竞争情况以及制度性差异等因素。这些因素可能会对药物定价和临床效益产生重要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能提供充分的证据来支持其主张。它只是简单地列举了一些数据，比较了不同国家的药物价格和临床效益，并得出结论说它们之间没有关联。然而，这种相关性分析并不能证明因果关系，也不能排除其他可能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可能存在的反驳观点或其他解释。它只是简单地得出结论说美国的癌症药物定价高于欧洲，并建议欧洲重新审查其定价规定。然而，这种建议是否合理以及是否有其他解决方案都没有进行深入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不完整之处。它提供了一些数据比较，但缺乏充分的证据来支持其主张，并未探索可能存在的反驳观点或其他解释。因此，在评估其结论时需要谨慎，并考虑到可能存在的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美国和欧洲癌症药物定价差异
</w:t>
      </w:r>
    </w:p>
    <w:p>
      <w:pPr>
        <w:spacing w:after="0"/>
        <w:numPr>
          <w:ilvl w:val="0"/>
          <w:numId w:val="2"/>
        </w:numPr>
      </w:pPr>
      <w:r>
        <w:rPr/>
        <w:t xml:space="preserve">美国药物价格增长快于通胀率
</w:t>
      </w:r>
    </w:p>
    <w:p>
      <w:pPr>
        <w:spacing w:after="0"/>
        <w:numPr>
          <w:ilvl w:val="0"/>
          <w:numId w:val="2"/>
        </w:numPr>
      </w:pPr>
      <w:r>
        <w:rPr/>
        <w:t xml:space="preserve">欧洲药物价格相对稳定或下降
</w:t>
      </w:r>
    </w:p>
    <w:p>
      <w:pPr>
        <w:spacing w:after="0"/>
        <w:numPr>
          <w:ilvl w:val="0"/>
          <w:numId w:val="2"/>
        </w:numPr>
      </w:pPr>
      <w:r>
        <w:rPr/>
        <w:t xml:space="preserve">数据来源和方法
</w:t>
      </w:r>
    </w:p>
    <w:p>
      <w:pPr>
        <w:spacing w:after="0"/>
        <w:numPr>
          <w:ilvl w:val="0"/>
          <w:numId w:val="2"/>
        </w:numPr>
      </w:pPr>
      <w:r>
        <w:rPr/>
        <w:t xml:space="preserve">其他影响药物定价和临床效益的因素
</w:t>
      </w:r>
    </w:p>
    <w:p>
      <w:pPr>
        <w:numPr>
          <w:ilvl w:val="0"/>
          <w:numId w:val="2"/>
        </w:numPr>
      </w:pPr>
      <w:r>
        <w:rPr/>
        <w:t xml:space="preserve">缺乏充分证据和探讨其他解释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https://www.fullpicture.app/item/1f9f11bbcdf492a2a010d842bedc48a9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725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251654/" TargetMode="External"/><Relationship Id="rId8" Type="http://schemas.openxmlformats.org/officeDocument/2006/relationships/hyperlink" Target="https://www.fullpicture.app/item/1f9f11bbcdf492a2a010d842bedc48a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2024-04-07T01:23:39+02:00</dcterms:created>
  <dcterms:modified xsi:type="dcterms:W3CDTF">2024-04-07T01:23:39+02:00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