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levels of intracellular endotrophin in adipocytes mediate COPII vesicle supplies to autophagosome to impair autophagic flux and contribute to systemic insulin resistance in obesity - PubMed</w:t>
      </w:r>
      <w:br/>
      <w:hyperlink r:id="rId7" w:history="1">
        <w:r>
          <w:rPr>
            <w:color w:val="2980b9"/>
            <w:u w:val="single"/>
          </w:rPr>
          <w:t xml:space="preserve">https://pubmed.ncbi.nlm.nih.gov/37302692/</w:t>
        </w:r>
      </w:hyperlink>
    </w:p>
    <w:p>
      <w:pPr>
        <w:pStyle w:val="Heading1"/>
      </w:pPr>
      <w:bookmarkStart w:id="2" w:name="_Toc2"/>
      <w:r>
        <w:t>Article summary:</w:t>
      </w:r>
      <w:bookmarkEnd w:id="2"/>
    </w:p>
    <w:p>
      <w:pPr>
        <w:jc w:val="both"/>
      </w:pPr>
      <w:r>
        <w:rPr/>
        <w:t xml:space="preserve">1. 高水平的内源性内质网蛋白在脂肪细胞中介导COPII囊泡供应到自噬体，损害自噬通路并导致肥胖引起的全身胰岛素抵抗。</w:t>
      </w:r>
    </w:p>
    <w:p>
      <w:pPr>
        <w:jc w:val="both"/>
      </w:pPr>
      <w:r>
        <w:rPr/>
        <w:t xml:space="preserve">2. 在肥胖状态下，大部分内质网蛋白逃逸于溶酶体降解，并释放到细胞质中，介导COPII囊泡的主要成分SEC13与自噬相关7(ATG7)之间的直接相互作用，从而增加自噬体的形成。</w:t>
      </w:r>
    </w:p>
    <w:p>
      <w:pPr>
        <w:jc w:val="both"/>
      </w:pPr>
      <w:r>
        <w:rPr/>
        <w:t xml:space="preserve">3. 自噬体积累破坏了自噬通路的平衡，导致脂肪细胞死亡、炎症和胰岛素抵抗。通过siRNA外源性抑制ATG7或在体内使用单克隆抗体中和内源性内质网蛋白可以改善这些不良代谢效应。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潜在偏见及其来源：文章没有明确提到作者的潜在偏见或利益冲突。然而，由于该研究是由多个机构和作者合作完成的，可能存在与某些机构或资助者相关的潜在偏见。</w:t>
      </w:r>
    </w:p>
    <w:p>
      <w:pPr>
        <w:jc w:val="both"/>
      </w:pPr>
      <w:r>
        <w:rPr/>
        <w:t xml:space="preserve"/>
      </w:r>
    </w:p>
    <w:p>
      <w:pPr>
        <w:jc w:val="both"/>
      </w:pPr>
      <w:r>
        <w:rPr/>
        <w:t xml:space="preserve">2. 片面报道：文章主要关注了内源性内酯肽（endotrophin）在肥胖状态下对自噬通路的影响，但未提及其他可能导致系统胰岛素抵抗的因素。这种片面报道可能会导致读者对肥胖和胰岛素抵抗之间复杂关系的误解。</w:t>
      </w:r>
    </w:p>
    <w:p>
      <w:pPr>
        <w:jc w:val="both"/>
      </w:pPr>
      <w:r>
        <w:rPr/>
        <w:t xml:space="preserve"/>
      </w:r>
    </w:p>
    <w:p>
      <w:pPr>
        <w:jc w:val="both"/>
      </w:pPr>
      <w:r>
        <w:rPr/>
        <w:t xml:space="preserve">3. 无根据的主张：文章声称高水平的内源性内酯肽会导致自噬通路紊乱，并进一步导致脂肪细胞死亡、炎症和胰岛素抵抗。然而，文章并未提供足够的实验证据来支持这一主张。更多研究需要进行以验证这一观点。</w:t>
      </w:r>
    </w:p>
    <w:p>
      <w:pPr>
        <w:jc w:val="both"/>
      </w:pPr>
      <w:r>
        <w:rPr/>
        <w:t xml:space="preserve"/>
      </w:r>
    </w:p>
    <w:p>
      <w:pPr>
        <w:jc w:val="both"/>
      </w:pPr>
      <w:r>
        <w:rPr/>
        <w:t xml:space="preserve">4. 缺失的考虑点：文章没有讨论其他可能影响自噬通路和胰岛素抵抗的因素，如营养摄入、运动水平和遗传因素。这些因素在肥胖和胰岛素抵抗的发展中起着重要作用，但在文章中被忽略了。</w:t>
      </w:r>
    </w:p>
    <w:p>
      <w:pPr>
        <w:jc w:val="both"/>
      </w:pPr>
      <w:r>
        <w:rPr/>
        <w:t xml:space="preserve"/>
      </w:r>
    </w:p>
    <w:p>
      <w:pPr>
        <w:jc w:val="both"/>
      </w:pPr>
      <w:r>
        <w:rPr/>
        <w:t xml:space="preserve">5. 所提出主张的缺失证据：文章声称通过抑制自噬相关蛋白ATG7或使用单克隆抗体来中和内源性内酯肽可以改善肥胖引起的代谢紊乱。然而，文章并未提供足够的实验证据来支持这一主张。更多研究需要进行以验证这一观点。</w:t>
      </w:r>
    </w:p>
    <w:p>
      <w:pPr>
        <w:jc w:val="both"/>
      </w:pPr>
      <w:r>
        <w:rPr/>
        <w:t xml:space="preserve"/>
      </w:r>
    </w:p>
    <w:p>
      <w:pPr>
        <w:jc w:val="both"/>
      </w:pPr>
      <w:r>
        <w:rPr/>
        <w:t xml:space="preserve">6. 未探索的反驳：文章没有探讨其他可能解释其结果的假设或观点。这种未探索可能导致对该研究结果的全面理解不足。</w:t>
      </w:r>
    </w:p>
    <w:p>
      <w:pPr>
        <w:jc w:val="both"/>
      </w:pPr>
      <w:r>
        <w:rPr/>
        <w:t xml:space="preserve"/>
      </w:r>
    </w:p>
    <w:p>
      <w:pPr>
        <w:jc w:val="both"/>
      </w:pPr>
      <w:r>
        <w:rPr/>
        <w:t xml:space="preserve">7. 宣传内容：文章没有明确指出其研究结果对临床实践或公共健康政策的潜在影响。然而，由于该研究涉及到肥胖和胰岛素抵抗等与公众健康密切相关的问题，可能存在宣传内容的风险。</w:t>
      </w:r>
    </w:p>
    <w:p>
      <w:pPr>
        <w:jc w:val="both"/>
      </w:pPr>
      <w:r>
        <w:rPr/>
        <w:t xml:space="preserve"/>
      </w:r>
    </w:p>
    <w:p>
      <w:pPr>
        <w:jc w:val="both"/>
      </w:pPr>
      <w:r>
        <w:rPr/>
        <w:t xml:space="preserve">8. 偏袒：文章没有平等地呈现双方观点或争议，并且没有讨论其他可能解释其结果的观点。这种偏袒可能导致读者对该研究结果的客观性产生质疑。</w:t>
      </w:r>
    </w:p>
    <w:p>
      <w:pPr>
        <w:jc w:val="both"/>
      </w:pPr>
      <w:r>
        <w:rPr/>
        <w:t xml:space="preserve"/>
      </w:r>
    </w:p>
    <w:p>
      <w:pPr>
        <w:jc w:val="both"/>
      </w:pPr>
      <w:r>
        <w:rPr/>
        <w:t xml:space="preserve">综上所述，对于上述文章，需要更多的实验证据和全面的讨论来支持其主张，并且需要平衡地呈现不同观点和争议。此外，还需要考虑其他可能影响肥胖和胰岛素抵抗的因素，并探索其他可能解释其结果的假设或观点。</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proposed claims
</w:t>
      </w:r>
    </w:p>
    <w:p>
      <w:pPr>
        <w:spacing w:after="0"/>
        <w:numPr>
          <w:ilvl w:val="0"/>
          <w:numId w:val="2"/>
        </w:numPr>
      </w:pPr>
      <w:r>
        <w:rPr/>
        <w:t xml:space="preserve">Unexplored counterarguments
</w:t>
      </w:r>
    </w:p>
    <w:p>
      <w:pPr>
        <w:spacing w:after="0"/>
        <w:numPr>
          <w:ilvl w:val="0"/>
          <w:numId w:val="2"/>
        </w:numPr>
      </w:pPr>
      <w:r>
        <w:rPr/>
        <w:t xml:space="preserve">Promotional content
</w:t>
      </w:r>
    </w:p>
    <w:p>
      <w:pPr>
        <w:spacing w:after="0"/>
        <w:numPr>
          <w:ilvl w:val="0"/>
          <w:numId w:val="2"/>
        </w:numPr>
      </w:pPr>
      <w:r>
        <w:rPr/>
        <w:t xml:space="preserve">Bias towards one perspective
By considering these aspects and conducting further research</w:t>
      </w:r>
    </w:p>
    <w:p>
      <w:pPr>
        <w:numPr>
          <w:ilvl w:val="0"/>
          <w:numId w:val="2"/>
        </w:numPr>
      </w:pPr>
      <w:r>
        <w:rPr/>
        <w:t xml:space="preserve">a more comprehensive and balanced understanding of the article can be achieved.</w:t>
      </w:r>
    </w:p>
    <w:p>
      <w:pPr>
        <w:pStyle w:val="Heading1"/>
      </w:pPr>
      <w:bookmarkStart w:id="6" w:name="_Toc6"/>
      <w:r>
        <w:t>Report location:</w:t>
      </w:r>
      <w:bookmarkEnd w:id="6"/>
    </w:p>
    <w:p>
      <w:hyperlink r:id="rId8" w:history="1">
        <w:r>
          <w:rPr>
            <w:color w:val="2980b9"/>
            <w:u w:val="single"/>
          </w:rPr>
          <w:t xml:space="preserve">https://www.fullpicture.app/item/1e0909164adb247c89bcaefdfda29f4f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5CA9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302692/" TargetMode="External"/><Relationship Id="rId8" Type="http://schemas.openxmlformats.org/officeDocument/2006/relationships/hyperlink" Target="https://www.fullpicture.app/item/1e0909164adb247c89bcaefdfda29f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2023-12-29T05:13:44+01:00</dcterms:created>
  <dcterms:modified xsi:type="dcterms:W3CDTF">2023-12-29T05:13:44+01:00</dcterms:modified>
</cp:coreProperties>
</file>

<file path=docProps/custom.xml><?xml version="1.0" encoding="utf-8"?>
<Properties xmlns="http://schemas.openxmlformats.org/officeDocument/2006/custom-properties" xmlns:vt="http://schemas.openxmlformats.org/officeDocument/2006/docPropsVTypes"/>
</file>