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Cell-level reference maps for the human body take shape</w:t>
      </w:r>
      <w:br/>
      <w:hyperlink r:id="rId7" w:history="1">
        <w:r>
          <w:rPr>
            <w:color w:val="2980b9"/>
            <w:u w:val="single"/>
          </w:rPr>
          <w:t xml:space="preserve">https://www.nature.com/articles/d41586-023-01817-0</w:t>
        </w:r>
      </w:hyperlink>
    </w:p>
    <w:p>
      <w:pPr>
        <w:pStyle w:val="Heading1"/>
      </w:pPr>
      <w:bookmarkStart w:id="2" w:name="_Toc2"/>
      <w:r>
        <w:t>Article summary:</w:t>
      </w:r>
      <w:bookmarkEnd w:id="2"/>
    </w:p>
    <w:p>
      <w:pPr>
        <w:jc w:val="both"/>
      </w:pPr>
      <w:r>
        <w:rPr/>
        <w:t xml:space="preserve">1. HuBMAP initiative aims to create cell-level reference maps for the human body: The HuBMAP initiative is focused on generating technology and resources to map how different cell types are arranged throughout the human body. This initiative will provide researchers with tools to study tissue organization in health and disease.</w:t>
      </w:r>
    </w:p>
    <w:p>
      <w:pPr>
        <w:jc w:val="both"/>
      </w:pPr>
      <w:r>
        <w:rPr/>
        <w:t xml:space="preserve"/>
      </w:r>
    </w:p>
    <w:p>
      <w:pPr>
        <w:jc w:val="both"/>
      </w:pPr>
      <w:r>
        <w:rPr/>
        <w:t xml:space="preserve">2. Single-cell transcriptomics methods and spatial methods are used to create cell-level maps: Single-cell transcriptomics methods identify RNA transcripts in individual cells, providing a "parts list" of cell types in a tissue. Spatial methods, such as spatial transcriptomics and imaging-based approaches, put these parts together in context to generate cell-level maps of tissues.</w:t>
      </w:r>
    </w:p>
    <w:p>
      <w:pPr>
        <w:jc w:val="both"/>
      </w:pPr>
      <w:r>
        <w:rPr/>
        <w:t xml:space="preserve"/>
      </w:r>
    </w:p>
    <w:p>
      <w:pPr>
        <w:jc w:val="both"/>
      </w:pPr>
      <w:r>
        <w:rPr/>
        <w:t xml:space="preserve">3. Cell-level maps have been created for the placenta, intestine, and kidney: Three papers published in this issue describe reference cell atlases for the human placenta, intestine, and kidney. These atlases were created using techniques like MIBI (for protein imaging) and CODEX (for DNA barcoding), allowing researchers to identify different cell types and their interactions within these organs.</w:t>
      </w:r>
    </w:p>
    <w:p>
      <w:pPr>
        <w:jc w:val="both"/>
      </w:pPr>
      <w:r>
        <w:rPr/>
        <w:t xml:space="preserve"/>
      </w:r>
    </w:p>
    <w:p>
      <w:pPr>
        <w:jc w:val="both"/>
      </w:pPr>
      <w:r>
        <w:rPr/>
        <w:t xml:space="preserve">Overall, the article highlights the importance of understanding how cells are organized in the human body and how these cell-level reference maps can aid in studying tissue organization in various organs.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这篇文章介绍了人体细胞级别参考图的形成，以及用于研究人体组织结构复杂性的工具和资源。然而，文章存在一些潜在的偏见和问题。</w:t>
      </w:r>
    </w:p>
    <w:p>
      <w:pPr>
        <w:jc w:val="both"/>
      </w:pPr>
      <w:r>
        <w:rPr/>
        <w:t xml:space="preserve"/>
      </w:r>
    </w:p>
    <w:p>
      <w:pPr>
        <w:jc w:val="both"/>
      </w:pPr>
      <w:r>
        <w:rPr/>
        <w:t xml:space="preserve">首先，文章没有提到可能存在的技术限制和挑战。尽管该倡议旨在生成技术和资源来实现细胞类型在整个身体中的排列方式的映射，但并没有讨论可能存在的困难和限制。例如，单细胞转录组学方法可能受到样本数量、数据处理和分析等方面的限制。</w:t>
      </w:r>
    </w:p>
    <w:p>
      <w:pPr>
        <w:jc w:val="both"/>
      </w:pPr>
      <w:r>
        <w:rPr/>
        <w:t xml:space="preserve"/>
      </w:r>
    </w:p>
    <w:p>
      <w:pPr>
        <w:jc w:val="both"/>
      </w:pPr>
      <w:r>
        <w:rPr/>
        <w:t xml:space="preserve">其次，文章没有提供关于研究结果的详细信息。虽然提到了三篇关于胎盘、肠道和肾脏的参考细胞图谱的论文，但没有提供这些研究结果的具体内容。读者无法了解这些图谱对我们理解人体组织结构有何贡献。</w:t>
      </w:r>
    </w:p>
    <w:p>
      <w:pPr>
        <w:jc w:val="both"/>
      </w:pPr>
      <w:r>
        <w:rPr/>
        <w:t xml:space="preserve"/>
      </w:r>
    </w:p>
    <w:p>
      <w:pPr>
        <w:jc w:val="both"/>
      </w:pPr>
      <w:r>
        <w:rPr/>
        <w:t xml:space="preserve">此外，文章未探讨可能存在的风险和争议。生成人体细胞级别参考图谱涉及大量个人数据收集和使用，因此隐私保护是一个重要问题。文章未提及如何确保个人数据安全，并且是否有适当的伦理审查程序来监督这些研究。</w:t>
      </w:r>
    </w:p>
    <w:p>
      <w:pPr>
        <w:jc w:val="both"/>
      </w:pPr>
      <w:r>
        <w:rPr/>
        <w:t xml:space="preserve"/>
      </w:r>
    </w:p>
    <w:p>
      <w:pPr>
        <w:jc w:val="both"/>
      </w:pPr>
      <w:r>
        <w:rPr/>
        <w:t xml:space="preserve">最后，文章可能存在宣传内容和偏袒。文章强调了该倡议的重要性和潜在影响，但没有提供对该倡议的批评或反对意见。这可能导致读者对该倡议的全面了解不足。</w:t>
      </w:r>
    </w:p>
    <w:p>
      <w:pPr>
        <w:jc w:val="both"/>
      </w:pPr>
      <w:r>
        <w:rPr/>
        <w:t xml:space="preserve"/>
      </w:r>
    </w:p>
    <w:p>
      <w:pPr>
        <w:jc w:val="both"/>
      </w:pPr>
      <w:r>
        <w:rPr/>
        <w:t xml:space="preserve">综上所述，尽管这篇文章介绍了人体细胞级别参考图谱的形成，但它存在一些潜在的偏见和问题，包括技术限制、缺乏详细信息、未探讨风险和争议以及宣传内容和偏袒。读者应该保持批判思维，并寻找更多来源来获取全面的信息。</w:t>
      </w:r>
    </w:p>
    <w:p>
      <w:pPr>
        <w:pStyle w:val="Heading1"/>
      </w:pPr>
      <w:bookmarkStart w:id="5" w:name="_Toc5"/>
      <w:r>
        <w:t>Topics for further research:</w:t>
      </w:r>
      <w:bookmarkEnd w:id="5"/>
    </w:p>
    <w:p>
      <w:pPr>
        <w:spacing w:after="0"/>
        <w:numPr>
          <w:ilvl w:val="0"/>
          <w:numId w:val="2"/>
        </w:numPr>
      </w:pPr>
      <w:r>
        <w:rPr/>
        <w:t xml:space="preserve">技术限制和挑战
</w:t>
      </w:r>
    </w:p>
    <w:p>
      <w:pPr>
        <w:spacing w:after="0"/>
        <w:numPr>
          <w:ilvl w:val="0"/>
          <w:numId w:val="2"/>
        </w:numPr>
      </w:pPr>
      <w:r>
        <w:rPr/>
        <w:t xml:space="preserve">研究结果的详细信息
</w:t>
      </w:r>
    </w:p>
    <w:p>
      <w:pPr>
        <w:spacing w:after="0"/>
        <w:numPr>
          <w:ilvl w:val="0"/>
          <w:numId w:val="2"/>
        </w:numPr>
      </w:pPr>
      <w:r>
        <w:rPr/>
        <w:t xml:space="preserve">隐私保护和伦理审查
</w:t>
      </w:r>
    </w:p>
    <w:p>
      <w:pPr>
        <w:spacing w:after="0"/>
        <w:numPr>
          <w:ilvl w:val="0"/>
          <w:numId w:val="2"/>
        </w:numPr>
      </w:pPr>
      <w:r>
        <w:rPr/>
        <w:t xml:space="preserve">风险和争议
</w:t>
      </w:r>
    </w:p>
    <w:p>
      <w:pPr>
        <w:spacing w:after="0"/>
        <w:numPr>
          <w:ilvl w:val="0"/>
          <w:numId w:val="2"/>
        </w:numPr>
      </w:pPr>
      <w:r>
        <w:rPr/>
        <w:t xml:space="preserve">宣传内容和偏袒
</w:t>
      </w:r>
    </w:p>
    <w:p>
      <w:pPr>
        <w:numPr>
          <w:ilvl w:val="0"/>
          <w:numId w:val="2"/>
        </w:numPr>
      </w:pPr>
      <w:r>
        <w:rPr/>
        <w:t xml:space="preserve">批判思维和获取全面信息</w:t>
      </w:r>
    </w:p>
    <w:p>
      <w:pPr>
        <w:pStyle w:val="Heading1"/>
      </w:pPr>
      <w:bookmarkStart w:id="6" w:name="_Toc6"/>
      <w:r>
        <w:t>Report location:</w:t>
      </w:r>
      <w:bookmarkEnd w:id="6"/>
    </w:p>
    <w:p>
      <w:hyperlink r:id="rId8" w:history="1">
        <w:r>
          <w:rPr>
            <w:color w:val="2980b9"/>
            <w:u w:val="single"/>
          </w:rPr>
          <w:t xml:space="preserve">https://www.fullpicture.app/item/1dff63c892ce5139a3b157be36c4dfba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F2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1817-0" TargetMode="External"/><Relationship Id="rId8" Type="http://schemas.openxmlformats.org/officeDocument/2006/relationships/hyperlink" Target="https://www.fullpicture.app/item/1dff63c892ce5139a3b157be36c4df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2023-12-28T07:36:00+01:00</dcterms:created>
  <dcterms:modified xsi:type="dcterms:W3CDTF">2023-12-28T07:36:00+01:00</dcterms:modified>
</cp:coreProperties>
</file>

<file path=docProps/custom.xml><?xml version="1.0" encoding="utf-8"?>
<Properties xmlns="http://schemas.openxmlformats.org/officeDocument/2006/custom-properties" xmlns:vt="http://schemas.openxmlformats.org/officeDocument/2006/docPropsVTypes"/>
</file>