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CRISPR/Cas9-mediated knock-in strategy at the Rosa26 locus in cattle fetal fibroblasts - PubMed</w:t>
      </w:r>
      <w:br/>
      <w:hyperlink r:id="rId7" w:history="1">
        <w:r>
          <w:rPr>
            <w:color w:val="2980b9"/>
            <w:u w:val="single"/>
          </w:rPr>
          <w:t xml:space="preserve">https://pubmed.ncbi.nlm.nih.gov/36441701/</w:t>
        </w:r>
      </w:hyperlink>
    </w:p>
    <w:p>
      <w:pPr>
        <w:pStyle w:val="Heading1"/>
      </w:pPr>
      <w:bookmarkStart w:id="2" w:name="_Toc2"/>
      <w:r>
        <w:t>Article summary:</w:t>
      </w:r>
      <w:bookmarkEnd w:id="2"/>
    </w:p>
    <w:p>
      <w:pPr>
        <w:jc w:val="both"/>
      </w:pPr>
      <w:r>
        <w:rPr/>
        <w:t xml:space="preserve">1. 本研究使用CRISPR/Cas9技术在牛胎儿成纤维细胞的Rosa26位点成功实现了靶向插入策略。</w:t>
      </w:r>
    </w:p>
    <w:p>
      <w:pPr>
        <w:jc w:val="both"/>
      </w:pPr>
      <w:r>
        <w:rPr/>
        <w:t xml:space="preserve">2. 研究发现，CAG启动子对于激活EGFP基因的表达具有最高的活性，相比于cRosa26、EF1a和PGK启动子。</w:t>
      </w:r>
    </w:p>
    <w:p>
      <w:pPr>
        <w:jc w:val="both"/>
      </w:pPr>
      <w:r>
        <w:rPr/>
        <w:t xml:space="preserve">3. 结果表明，cRosa26是一个能够高效整合不同表达单元并支持友好表达的位点，对于使用牛进行各种研究具有重要意义。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对于这篇文章的批判性分析，以下是一些可能的观点和问题：</w:t>
      </w:r>
    </w:p>
    <w:p>
      <w:pPr>
        <w:jc w:val="both"/>
      </w:pPr>
      <w:r>
        <w:rPr/>
        <w:t xml:space="preserve"/>
      </w:r>
    </w:p>
    <w:p>
      <w:pPr>
        <w:jc w:val="both"/>
      </w:pPr>
      <w:r>
        <w:rPr/>
        <w:t xml:space="preserve">1. 偏见及其来源：文章没有明确提到作者的潜在偏见或利益冲突。这可能导致读者对研究结果的客观性产生质疑。</w:t>
      </w:r>
    </w:p>
    <w:p>
      <w:pPr>
        <w:jc w:val="both"/>
      </w:pPr>
      <w:r>
        <w:rPr/>
        <w:t xml:space="preserve"/>
      </w:r>
    </w:p>
    <w:p>
      <w:pPr>
        <w:jc w:val="both"/>
      </w:pPr>
      <w:r>
        <w:rPr/>
        <w:t xml:space="preserve">2. 片面报道：文章只关注了CRISPR/Cas9技术在牛胚成纤维细胞中的应用，但没有提及其他可能存在的技术或方法。这种片面报道可能会给读者留下不完整或误导性的印象。</w:t>
      </w:r>
    </w:p>
    <w:p>
      <w:pPr>
        <w:jc w:val="both"/>
      </w:pPr>
      <w:r>
        <w:rPr/>
        <w:t xml:space="preserve"/>
      </w:r>
    </w:p>
    <w:p>
      <w:pPr>
        <w:jc w:val="both"/>
      </w:pPr>
      <w:r>
        <w:rPr/>
        <w:t xml:space="preserve">3. 无根据的主张：文章声称CRISPR/Cas9系统可以高效地将基因插入到cRosa26位点，并支持不同表达单元的友好表达。然而，文章并未提供足够的实验证据来支持这些主张。缺乏实验证据可能使读者对这些结论产生怀疑。</w:t>
      </w:r>
    </w:p>
    <w:p>
      <w:pPr>
        <w:jc w:val="both"/>
      </w:pPr>
      <w:r>
        <w:rPr/>
        <w:t xml:space="preserve"/>
      </w:r>
    </w:p>
    <w:p>
      <w:pPr>
        <w:jc w:val="both"/>
      </w:pPr>
      <w:r>
        <w:rPr/>
        <w:t xml:space="preserve">4. 缺失的考虑点：文章没有讨论使用CRISPR/Cas9技术进行基因编辑可能存在的风险和限制。例如，CRISPR/Cas9系统可能引发意外突变或不可预测的副作用。缺乏对潜在风险和限制进行全面讨论可能导致读者对该技术应用的真实性产生疑问。</w:t>
      </w:r>
    </w:p>
    <w:p>
      <w:pPr>
        <w:jc w:val="both"/>
      </w:pPr>
      <w:r>
        <w:rPr/>
        <w:t xml:space="preserve"/>
      </w:r>
    </w:p>
    <w:p>
      <w:pPr>
        <w:jc w:val="both"/>
      </w:pPr>
      <w:r>
        <w:rPr/>
        <w:t xml:space="preserve">5. 所提出主张的缺失证据：文章声称CAG启动子具有最高的活性来激活EGFP的表达，但没有提供实验证据来支持这一主张。缺乏实验证据可能使读者对该结论的可靠性产生质疑。</w:t>
      </w:r>
    </w:p>
    <w:p>
      <w:pPr>
        <w:jc w:val="both"/>
      </w:pPr>
      <w:r>
        <w:rPr/>
        <w:t xml:space="preserve"/>
      </w:r>
    </w:p>
    <w:p>
      <w:pPr>
        <w:jc w:val="both"/>
      </w:pPr>
      <w:r>
        <w:rPr/>
        <w:t xml:space="preserve">6. 未探索的反驳：文章没有探讨其他学者或研究团队对CRISPR/Cas9技术在牛胚成纤维细胞中的应用进行的研究和发现。这种未探索可能导致读者对该领域中其他观点和结果的不完整了解。</w:t>
      </w:r>
    </w:p>
    <w:p>
      <w:pPr>
        <w:jc w:val="both"/>
      </w:pPr>
      <w:r>
        <w:rPr/>
        <w:t xml:space="preserve"/>
      </w:r>
    </w:p>
    <w:p>
      <w:pPr>
        <w:jc w:val="both"/>
      </w:pPr>
      <w:r>
        <w:rPr/>
        <w:t xml:space="preserve">7. 宣传内容：文章没有提及任何潜在限制或争议，而只强调了CRISPR/Cas9技术在牛基因编辑中的优势。这种宣传性内容可能会给读者留下过于乐观或不客观的印象。</w:t>
      </w:r>
    </w:p>
    <w:p>
      <w:pPr>
        <w:jc w:val="both"/>
      </w:pPr>
      <w:r>
        <w:rPr/>
        <w:t xml:space="preserve"/>
      </w:r>
    </w:p>
    <w:p>
      <w:pPr>
        <w:jc w:val="both"/>
      </w:pPr>
      <w:r>
        <w:rPr/>
        <w:t xml:space="preserve">总体而言，这篇文章存在一些潜在问题，包括偏见、片面报道、无根据的主张、缺失考虑点、所提出主张缺乏证据、未探索反驳以及宣传内容等。读者需要保持批判思维，并寻找更多相关研究来全面评估该领域中不同观点和结果的可靠性。</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其他可能存在的技术或方法
</w:t>
      </w:r>
    </w:p>
    <w:p>
      <w:pPr>
        <w:spacing w:after="0"/>
        <w:numPr>
          <w:ilvl w:val="0"/>
          <w:numId w:val="2"/>
        </w:numPr>
      </w:pPr>
      <w:r>
        <w:rPr/>
        <w:t xml:space="preserve">CRISPR/Cas9系统将基因插入到cRosa26位点的实验证据
</w:t>
      </w:r>
    </w:p>
    <w:p>
      <w:pPr>
        <w:spacing w:after="0"/>
        <w:numPr>
          <w:ilvl w:val="0"/>
          <w:numId w:val="2"/>
        </w:numPr>
      </w:pPr>
      <w:r>
        <w:rPr/>
        <w:t xml:space="preserve">CRISPR/Cas9技术的风险和限制
</w:t>
      </w:r>
    </w:p>
    <w:p>
      <w:pPr>
        <w:spacing w:after="0"/>
        <w:numPr>
          <w:ilvl w:val="0"/>
          <w:numId w:val="2"/>
        </w:numPr>
      </w:pPr>
      <w:r>
        <w:rPr/>
        <w:t xml:space="preserve">CAG启动子作为激活EGFP表达的最佳选择的实验证据
</w:t>
      </w:r>
    </w:p>
    <w:p>
      <w:pPr>
        <w:spacing w:after="0"/>
        <w:numPr>
          <w:ilvl w:val="0"/>
          <w:numId w:val="2"/>
        </w:numPr>
      </w:pPr>
      <w:r>
        <w:rPr/>
        <w:t xml:space="preserve">其他学者或研究团队对CRISPR/Cas9技术在牛胚成纤维细胞中的应用的研究和发现
</w:t>
      </w:r>
    </w:p>
    <w:p>
      <w:pPr>
        <w:numPr>
          <w:ilvl w:val="0"/>
          <w:numId w:val="2"/>
        </w:numPr>
      </w:pPr>
      <w:r>
        <w:rPr/>
        <w:t xml:space="preserve">CRISPR/Cas9技术在牛基因编辑中的限制和争议</w:t>
      </w:r>
    </w:p>
    <w:p>
      <w:pPr>
        <w:pStyle w:val="Heading1"/>
      </w:pPr>
      <w:bookmarkStart w:id="6" w:name="_Toc6"/>
      <w:r>
        <w:t>Report location:</w:t>
      </w:r>
      <w:bookmarkEnd w:id="6"/>
    </w:p>
    <w:p>
      <w:hyperlink r:id="rId8" w:history="1">
        <w:r>
          <w:rPr>
            <w:color w:val="2980b9"/>
            <w:u w:val="single"/>
          </w:rPr>
          <w:t xml:space="preserve">https://www.fullpicture.app/item/1d1e773d44a50707d922c961ed871729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9D43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441701/" TargetMode="External"/><Relationship Id="rId8" Type="http://schemas.openxmlformats.org/officeDocument/2006/relationships/hyperlink" Target="https://www.fullpicture.app/item/1d1e773d44a50707d922c961ed8717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2024-01-03T10:37:36+01:00</dcterms:created>
  <dcterms:modified xsi:type="dcterms:W3CDTF">2024-01-03T10:37:36+01:00</dcterms:modified>
</cp:coreProperties>
</file>

<file path=docProps/custom.xml><?xml version="1.0" encoding="utf-8"?>
<Properties xmlns="http://schemas.openxmlformats.org/officeDocument/2006/custom-properties" xmlns:vt="http://schemas.openxmlformats.org/officeDocument/2006/docPropsVTypes"/>
</file>