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自由贸易协定原产地规则的从价百分比标准设计的方法、比较和启示 - 中国知网</w:t></w:r><w:br/><w:hyperlink r:id="rId7" w:history="1"><w:r><w:rPr><w:color w:val="2980b9"/><w:u w:val="single"/></w:rPr><w:t xml:space="preserve">https://v.hbu.cn/https/77726476706e69737468656265737421fbf952d2243e635930068cb8/kcms2/article/abstract?v=3uoqIhG8C44YLTlOAiTRKibYlV5Vjs7iJTKGjg9uTdeTsOI_ra5_XbH2F3YOkg0FP1cBk5t46Q9L7Ay3N4phCHf4mso6dh2P&uniplatform=NZKPT</w:t></w:r></w:hyperlink></w:p><w:p><w:pPr><w:pStyle w:val="Heading1"/></w:pPr><w:bookmarkStart w:id="2" w:name="_Toc2"/><w:r><w:t>Article summary:</w:t></w:r><w:bookmarkEnd w:id="2"/></w:p><w:p><w:pPr><w:jc w:val="both"/></w:pPr><w:r><w:rPr/><w:t xml:space="preserve">1. 自由贸易协定（FTA）的原产地规则是FTA实施的核心内容之一，其目的是确保商品在FTA成员国之间的贸易中享受优惠待遇。从价百分比标准是一种常见的原产地规则设计方法，它要求商品中来自FTA成员国的材料和劳动力占总成本的一定比例以上才能被认定为原产地商品。</w:t></w:r></w:p><w:p><w:pPr><w:jc w:val="both"/></w:pPr><w:r><w:rPr/><w:t xml:space="preserve"></w:t></w:r></w:p><w:p><w:pPr><w:jc w:val="both"/></w:pPr><w:r><w:rPr/><w:t xml:space="preserve">2. 从价百分比标准设计涉及到多个因素，包括计算方法、适用范围、例外情况等。不同国家和地区对于这些因素有不同的规定和偏好，导致了各自独特的原产地规则体系。同时，FTA成员国之间也存在着谈判和协商，以达成更加统一和互惠的原产地规则。</w:t></w:r></w:p><w:p><w:pPr><w:jc w:val="both"/></w:pPr><w:r><w:rPr/><w:t xml:space="preserve"></w:t></w:r></w:p><w:p><w:pPr><w:jc w:val="both"/></w:pPr><w:r><w:rPr/><w:t xml:space="preserve">3. 中国作为一个重要的FTA参与者，在参与FTA谈判和实施过程中需要深入理解各个FTA伙伴国家和地区的原产地规则体系，并根据自身利益进行合理选择和调整。此外，中国还可以通过积极参与全球贸易治理机制建设，推动建立更加公平、开放、透明、可预测的全球贸易环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作为一篇关于自由贸易协定原产地规则的研究文章，该文提供了一些有价值的信息和见解。然而，在对其进行批判性分析时，我们也需要注意到其中存在的潜在偏见和不足之处。</w:t></w:r></w:p><w:p><w:pPr><w:jc w:val="both"/></w:pPr><w:r><w:rPr/><w:t xml:space="preserve"></w:t></w:r></w:p><w:p><w:pPr><w:jc w:val="both"/></w:pPr><w:r><w:rPr/><w:t xml:space="preserve">首先，该文可能存在的一个偏见是其过度强调了从价百分比标准在自由贸易协定中的重要性。虽然这个标准确实是一个重要的考虑因素，但它并不是唯一的决定因素。其他因素如产品制造过程、材料来源等也同样重要，但在文章中并未得到充分探讨。</w:t></w:r></w:p><w:p><w:pPr><w:jc w:val="both"/></w:pPr><w:r><w:rPr/><w:t xml:space="preserve"></w:t></w:r></w:p><w:p><w:pPr><w:jc w:val="both"/></w:pPr><w:r><w:rPr/><w:t xml:space="preserve">其次，该文可能存在片面报道和无根据的主张。例如，在文章中提到了某些国家对于原产地规则的违反行为，但并未提供具体证据或数据来支持这些主张。此外，在比较各国原产地规则时，文章也没有充分考虑到各国之间经济发展水平、资源禀赋等方面的差异。</w:t></w:r></w:p><w:p><w:pPr><w:jc w:val="both"/></w:pPr><w:r><w:rPr/><w:t xml:space="preserve"></w:t></w:r></w:p><w:p><w:pPr><w:jc w:val="both"/></w:pPr><w:r><w:rPr/><w:t xml:space="preserve">第三，该文可能存在缺失的考虑点。例如，在讨论从价百分比标准时，并未充分考虑到不同行业之间价格波动幅度差异以及市场竞争程度等因素对于该标准应用的影响。</w:t></w:r></w:p><w:p><w:pPr><w:jc w:val="both"/></w:pPr><w:r><w:rPr/><w:t xml:space="preserve"></w:t></w:r></w:p><w:p><w:pPr><w:jc w:val="both"/></w:pPr><w:r><w:rPr/><w:t xml:space="preserve">第四，该文所提出主张缺乏证据支持。例如，在文章中提到了某些国家对于原产地规则采取保护主义措施会导致贸易壁垒增加、经济效益下降等问题，但并未提供具体数据或案例来支持这些观点。</w:t></w:r></w:p><w:p><w:pPr><w:jc w:val="both"/></w:pPr><w:r><w:rPr/><w:t xml:space="preserve"></w:t></w:r></w:p><w:p><w:pPr><w:jc w:val="both"/></w:pPr><w:r><w:rPr/><w:t xml:space="preserve">第五，该文未探索反驳观点。例如，在讨论从价百分比标准时，并未探讨其他学者或政策制定者对于该标准应用范围和方法上存在争议或反对意见。</w:t></w:r></w:p><w:p><w:pPr><w:jc w:val="both"/></w:pPr><w:r><w:rPr/><w:t xml:space="preserve"></w:t></w:r></w:p><w:p><w:pPr><w:jc w:val="both"/></w:pPr><w:r><w:rPr/><w:t xml:space="preserve">最后，该文可能存在宣传内容和偏袒现象。例如，在讨论中国与其他国家原产地规则比较时，并未平等呈现双方情况，并且似乎更倾向于支持中国立场。</w:t></w:r></w:p><w:p><w:pPr><w:jc w:val="both"/></w:pPr><w:r><w:rPr/><w:t xml:space="preserve"></w:t></w:r></w:p><w:p><w:pPr><w:jc w:val="both"/></w:pPr><w:r><w:rPr/><w:t xml:space="preserve">综上所述，尽管该文提供了一些有价值的信息和见解，但我们需要注意到其中存在潜在偏见、片面报道、无根据主张、缺失考虑点、缺乏证据支持、未探索反驳观点以及宣传内容和偏袒现象等问题。</w:t></w:r></w:p><w:p><w:pPr><w:pStyle w:val="Heading1"/></w:pPr><w:bookmarkStart w:id="5" w:name="_Toc5"/><w:r><w:t>Topics for further research:</w:t></w:r><w:bookmarkEnd w:id="5"/></w:p><w:p><w:pPr><w:spacing w:after="0"/><w:numPr><w:ilvl w:val="0"/><w:numId w:val="2"/></w:numPr></w:pPr><w:r><w:rPr/><w:t xml:space="preserve">Other factors in origin rules
</w:t></w:r></w:p><w:p><w:pPr><w:spacing w:after="0"/><w:numPr><w:ilvl w:val="0"/><w:numId w:val="2"/></w:numPr></w:pPr><w:r><w:rPr/><w:t xml:space="preserve">Lack of evidence for claims
</w:t></w:r></w:p><w:p><w:pPr><w:spacing w:after="0"/><w:numPr><w:ilvl w:val="0"/><w:numId w:val="2"/></w:numPr></w:pPr><w:r><w:rPr/><w:t xml:space="preserve">Differences in economic development and resources
</w:t></w:r></w:p><w:p><w:pPr><w:spacing w:after="0"/><w:numPr><w:ilvl w:val="0"/><w:numId w:val="2"/></w:numPr></w:pPr><w:r><w:rPr/><w:t xml:space="preserve">Limitations of the percentage criterion
</w:t></w:r></w:p><w:p><w:pPr><w:spacing w:after="0"/><w:numPr><w:ilvl w:val="0"/><w:numId w:val="2"/></w:numPr></w:pPr><w:r><w:rPr/><w:t xml:space="preserve">Failure to explore opposing views
</w:t></w:r></w:p><w:p><w:pPr><w:numPr><w:ilvl w:val="0"/><w:numId w:val="2"/></w:numPr></w:pPr><w:r><w:rPr/><w:t xml:space="preserve">Potential bias and favoritism</w:t></w:r></w:p><w:p><w:pPr><w:pStyle w:val="Heading1"/></w:pPr><w:bookmarkStart w:id="6" w:name="_Toc6"/><w:r><w:t>Report location:</w:t></w:r><w:bookmarkEnd w:id="6"/></w:p><w:p><w:hyperlink r:id="rId8" w:history="1"><w:r><w:rPr><w:color w:val="2980b9"/><w:u w:val="single"/></w:rPr><w:t xml:space="preserve">https://www.fullpicture.app/item/1b9fd2dc066c28a15612f056c4b5e4ef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E609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hbu.cn/https/77726476706e69737468656265737421fbf952d2243e635930068cb8/kcms2/article/abstract?v=3uoqIhG8C44YLTlOAiTRKibYlV5Vjs7iJTKGjg9uTdeTsOI_ra5_XbH2F3YOkg0FP1cBk5t46Q9L7Ay3N4phCHf4mso6dh2P&amp;uniplatform=NZKPT" TargetMode="External"/><Relationship Id="rId8" Type="http://schemas.openxmlformats.org/officeDocument/2006/relationships/hyperlink" Target="https://www.fullpicture.app/item/1b9fd2dc066c28a15612f056c4b5e4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2023-12-12T17:59:43+01:00</dcterms:created>
  <dcterms:modified xsi:type="dcterms:W3CDTF">2023-12-12T17:59:43+01:00</dcterms:modified>
</cp:coreProperties>
</file>

<file path=docProps/custom.xml><?xml version="1.0" encoding="utf-8"?>
<Properties xmlns="http://schemas.openxmlformats.org/officeDocument/2006/custom-properties" xmlns:vt="http://schemas.openxmlformats.org/officeDocument/2006/docPropsVTypes"/>
</file>